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2415703</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6.20.3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102 meeting</w:t>
      </w:r>
      <w:r>
        <w:rPr>
          <w:rFonts w:hint="default" w:ascii="Arial" w:hAnsi="Arial" w:cs="Arial"/>
          <w:lang w:val="en-US" w:eastAsia="zh-CN"/>
        </w:rPr>
        <w:t xml:space="preserve">, </w:t>
      </w:r>
      <w:r>
        <w:rPr>
          <w:rFonts w:hint="eastAsia" w:cs="Arial"/>
          <w:lang w:val="en-US" w:eastAsia="zh-CN"/>
        </w:rPr>
        <w:t xml:space="preserve">a R19 WI on Sub-band full duplex (SBFD)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Specify BS RF requirements for SBFD operation at gNB [RAN4]</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right="-99"/>
              <w:textAlignment w:val="auto"/>
              <w:rPr>
                <w:rFonts w:hint="eastAsia" w:ascii="Arial" w:hAnsi="Arial" w:cs="Arial"/>
                <w:sz w:val="20"/>
                <w:szCs w:val="20"/>
                <w:u w:val="none"/>
                <w:lang w:val="en-US" w:eastAsia="zh-CN"/>
              </w:rPr>
            </w:pPr>
            <w:r>
              <w:rPr>
                <w:rFonts w:eastAsia="Malgun Gothic"/>
                <w:lang w:val="en-US" w:eastAsia="ko-KR"/>
              </w:rPr>
              <w:t xml:space="preserve">Specify applicable </w:t>
            </w:r>
            <w:r>
              <w:rPr>
                <w:rFonts w:eastAsia="Malgun Gothic"/>
                <w:highlight w:val="green"/>
                <w:lang w:val="en-US" w:eastAsia="ko-KR"/>
              </w:rPr>
              <w:t>RRM core requirements for co-channel CLI handling mechanisms</w:t>
            </w:r>
            <w:r>
              <w:rPr>
                <w:rFonts w:eastAsia="Malgun Gothic"/>
                <w:lang w:val="en-US" w:eastAsia="ko-KR"/>
              </w:rPr>
              <w:t xml:space="preserve"> [RAN4]</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right="-99"/>
              <w:textAlignment w:val="auto"/>
              <w:rPr>
                <w:rFonts w:hint="eastAsia" w:ascii="Arial" w:hAnsi="Arial" w:cs="Arial"/>
                <w:sz w:val="20"/>
                <w:szCs w:val="20"/>
                <w:u w:val="none"/>
                <w:lang w:val="en-US" w:eastAsia="zh-CN"/>
              </w:rPr>
            </w:pPr>
            <w:r>
              <w:rPr>
                <w:rFonts w:eastAsia="Malgun Gothic"/>
                <w:lang w:val="en-US" w:eastAsia="ko-KR"/>
              </w:rPr>
              <w:t xml:space="preserve">Specify other </w:t>
            </w:r>
            <w:r>
              <w:rPr>
                <w:rFonts w:eastAsia="Malgun Gothic"/>
                <w:highlight w:val="green"/>
                <w:lang w:val="en-US" w:eastAsia="ko-KR"/>
              </w:rPr>
              <w:t>RRM core requirements for SBFD operation</w:t>
            </w:r>
            <w:r>
              <w:rPr>
                <w:rFonts w:eastAsia="Malgun Gothic"/>
                <w:lang w:val="en-US" w:eastAsia="ko-KR"/>
              </w:rPr>
              <w:t>, if identified [RAN4]</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We highlight the objectives relevant to RAN4 RRM session. For the 1</w:t>
      </w:r>
      <w:r>
        <w:rPr>
          <w:rFonts w:hint="eastAsia" w:cs="Arial"/>
          <w:vertAlign w:val="superscript"/>
          <w:lang w:val="en-US" w:eastAsia="zh-CN"/>
        </w:rPr>
        <w:t>st</w:t>
      </w:r>
      <w:r>
        <w:rPr>
          <w:rFonts w:hint="eastAsia" w:cs="Arial"/>
          <w:lang w:val="en-US" w:eastAsia="zh-CN"/>
        </w:rPr>
        <w:t xml:space="preserve"> RAN4 RRM aspects, it clearly shows that RAN4 should define the requirements for CLI measurement. Based on the investigation during SI phase and the RAN1 progress until RAN1#117 meeting in R19 phase, the CLI measurement contains UE-to-UE CLI and gNB-to-gNB CLI. The 2</w:t>
      </w:r>
      <w:r>
        <w:rPr>
          <w:rFonts w:hint="eastAsia" w:cs="Arial"/>
          <w:vertAlign w:val="superscript"/>
          <w:lang w:val="en-US" w:eastAsia="zh-CN"/>
        </w:rPr>
        <w:t>nd</w:t>
      </w:r>
      <w:r>
        <w:rPr>
          <w:rFonts w:hint="eastAsia" w:cs="Arial"/>
          <w:lang w:val="en-US" w:eastAsia="zh-CN"/>
        </w:rPr>
        <w:t xml:space="preserve"> RAN4 RRM task is general, all RRM aspects regarding the SBFD operation should be identified and concluded.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good discussion were held and the following progress were achieved in [2]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spacing w:before="120"/>
              <w:outlineLvl w:val="2"/>
              <w:rPr>
                <w:rFonts w:ascii="Arial" w:hAnsi="Arial"/>
                <w:b/>
                <w:bCs/>
                <w:sz w:val="18"/>
                <w:szCs w:val="18"/>
                <w:lang w:val="en-US" w:eastAsia="zh-CN"/>
              </w:rPr>
            </w:pPr>
            <w:r>
              <w:rPr>
                <w:rFonts w:ascii="Arial" w:hAnsi="Arial"/>
                <w:b/>
                <w:bCs/>
                <w:sz w:val="18"/>
                <w:szCs w:val="18"/>
                <w:lang w:val="en-US" w:eastAsia="zh-CN"/>
              </w:rPr>
              <w:t>Sub-topic 1-1: Work plan</w:t>
            </w:r>
          </w:p>
          <w:p>
            <w:pPr>
              <w:spacing w:after="120"/>
              <w:rPr>
                <w:color w:val="0070C0"/>
                <w:szCs w:val="24"/>
                <w:lang w:eastAsia="zh-CN"/>
              </w:rPr>
            </w:pPr>
            <w:r>
              <w:rPr>
                <w:color w:val="0070C0"/>
                <w:szCs w:val="24"/>
                <w:lang w:eastAsia="zh-CN"/>
              </w:rPr>
              <w:t>Agreements (from online session)</w:t>
            </w:r>
          </w:p>
          <w:p>
            <w:pPr>
              <w:pStyle w:val="29"/>
              <w:numPr>
                <w:ilvl w:val="0"/>
                <w:numId w:val="5"/>
              </w:numPr>
              <w:ind w:firstLineChars="0"/>
              <w:rPr>
                <w:lang w:eastAsia="ja-JP"/>
              </w:rPr>
            </w:pPr>
            <w:r>
              <w:rPr>
                <w:lang w:eastAsia="ja-JP"/>
              </w:rPr>
              <w:t>The work plan in R4-2412534 is approved.</w:t>
            </w:r>
          </w:p>
          <w:p>
            <w:pPr>
              <w:keepNext/>
              <w:keepLines/>
              <w:spacing w:before="120"/>
              <w:outlineLvl w:val="2"/>
              <w:rPr>
                <w:rFonts w:ascii="Arial" w:hAnsi="Arial"/>
                <w:b/>
                <w:bCs/>
                <w:sz w:val="18"/>
                <w:szCs w:val="18"/>
                <w:lang w:val="en-US" w:eastAsia="zh-CN"/>
              </w:rPr>
            </w:pPr>
            <w:r>
              <w:rPr>
                <w:rFonts w:ascii="Arial" w:hAnsi="Arial"/>
                <w:b/>
                <w:bCs/>
                <w:sz w:val="18"/>
                <w:szCs w:val="18"/>
                <w:lang w:val="en-US" w:eastAsia="zh-CN"/>
              </w:rPr>
              <w:t>Issue 2-1-1: Scope of requirements for UE-to-UE CLI handling</w:t>
            </w:r>
          </w:p>
          <w:p>
            <w:pPr>
              <w:spacing w:after="120"/>
              <w:rPr>
                <w:color w:val="0070C0"/>
                <w:szCs w:val="24"/>
                <w:lang w:eastAsia="zh-CN"/>
              </w:rPr>
            </w:pPr>
            <w:r>
              <w:rPr>
                <w:color w:val="0070C0"/>
                <w:szCs w:val="24"/>
                <w:lang w:eastAsia="zh-CN"/>
              </w:rPr>
              <w:t>Agreements (from online session)</w:t>
            </w:r>
          </w:p>
          <w:p>
            <w:pPr>
              <w:pStyle w:val="29"/>
              <w:numPr>
                <w:ilvl w:val="0"/>
                <w:numId w:val="5"/>
              </w:numPr>
              <w:ind w:firstLineChars="0"/>
              <w:rPr>
                <w:lang w:eastAsia="ja-JP"/>
              </w:rPr>
            </w:pPr>
            <w:r>
              <w:rPr>
                <w:lang w:eastAsia="ja-JP"/>
              </w:rPr>
              <w:t xml:space="preserve">RAN4 to define RRM requirements for L1 based UE-to-UE CLI measurement and reporting. </w:t>
            </w:r>
          </w:p>
          <w:p>
            <w:pPr>
              <w:keepNext/>
              <w:keepLines/>
              <w:spacing w:before="120"/>
              <w:outlineLvl w:val="2"/>
              <w:rPr>
                <w:rFonts w:ascii="Arial" w:hAnsi="Arial"/>
                <w:b/>
                <w:bCs/>
                <w:sz w:val="18"/>
                <w:szCs w:val="18"/>
                <w:lang w:val="en-US" w:eastAsia="zh-CN"/>
              </w:rPr>
            </w:pPr>
            <w:r>
              <w:rPr>
                <w:rFonts w:ascii="Arial" w:hAnsi="Arial"/>
                <w:b/>
                <w:bCs/>
                <w:sz w:val="18"/>
                <w:szCs w:val="18"/>
                <w:lang w:val="en-US" w:eastAsia="zh-CN"/>
              </w:rPr>
              <w:t xml:space="preserve">Issue 2-1-7: Side condition  </w:t>
            </w:r>
          </w:p>
          <w:p>
            <w:pPr>
              <w:spacing w:after="120"/>
              <w:rPr>
                <w:color w:val="0070C0"/>
                <w:szCs w:val="24"/>
                <w:lang w:eastAsia="zh-CN"/>
              </w:rPr>
            </w:pPr>
            <w:r>
              <w:rPr>
                <w:color w:val="0070C0"/>
                <w:szCs w:val="24"/>
                <w:lang w:eastAsia="zh-CN"/>
              </w:rPr>
              <w:t>Agreements (from online session)</w:t>
            </w:r>
          </w:p>
          <w:p>
            <w:pPr>
              <w:pStyle w:val="29"/>
              <w:numPr>
                <w:ilvl w:val="0"/>
                <w:numId w:val="5"/>
              </w:numPr>
              <w:ind w:firstLineChars="0"/>
              <w:rPr>
                <w:lang w:eastAsia="ja-JP"/>
              </w:rPr>
            </w:pPr>
            <w:r>
              <w:rPr>
                <w:lang w:eastAsia="ja-JP"/>
              </w:rPr>
              <w:t>RAN4 to define side conditions for L1 based UE-to-UE CLI measurement requirements.</w:t>
            </w:r>
          </w:p>
          <w:p>
            <w:pPr>
              <w:pStyle w:val="29"/>
              <w:numPr>
                <w:ilvl w:val="0"/>
                <w:numId w:val="5"/>
              </w:numPr>
              <w:ind w:firstLineChars="0"/>
              <w:rPr>
                <w:lang w:eastAsia="ja-JP"/>
              </w:rPr>
            </w:pPr>
            <w:r>
              <w:rPr>
                <w:lang w:eastAsia="ja-JP"/>
              </w:rPr>
              <w:t>RAN4 to discuss at least time offset between DL timing and SRS arrival timing, SRS Es/Iot, SRS configuration and maximum/minimum SRS-RSRP.</w:t>
            </w:r>
          </w:p>
          <w:p>
            <w:pPr>
              <w:pStyle w:val="29"/>
              <w:numPr>
                <w:ilvl w:val="1"/>
                <w:numId w:val="5"/>
              </w:numPr>
              <w:ind w:firstLineChars="0"/>
              <w:rPr>
                <w:lang w:eastAsia="ja-JP"/>
              </w:rPr>
            </w:pPr>
            <w:r>
              <w:rPr>
                <w:lang w:eastAsia="ja-JP"/>
              </w:rPr>
              <w:t>The RAN1 progress will be taken into account when discussing the values for the side conditions.</w:t>
            </w:r>
          </w:p>
          <w:p>
            <w:pPr>
              <w:keepNext/>
              <w:keepLines/>
              <w:spacing w:before="120"/>
              <w:outlineLvl w:val="2"/>
              <w:rPr>
                <w:rFonts w:ascii="Arial" w:hAnsi="Arial"/>
                <w:b/>
                <w:bCs/>
                <w:sz w:val="18"/>
                <w:szCs w:val="18"/>
                <w:lang w:val="en-US" w:eastAsia="zh-CN"/>
              </w:rPr>
            </w:pPr>
            <w:r>
              <w:rPr>
                <w:rFonts w:ascii="Arial" w:hAnsi="Arial"/>
                <w:b/>
                <w:bCs/>
                <w:sz w:val="18"/>
                <w:szCs w:val="18"/>
                <w:lang w:val="en-US" w:eastAsia="zh-CN"/>
              </w:rPr>
              <w:t xml:space="preserve">Issue 2-1-8: Measurement period </w:t>
            </w:r>
          </w:p>
          <w:p>
            <w:pPr>
              <w:spacing w:after="120"/>
              <w:rPr>
                <w:color w:val="0070C0"/>
                <w:szCs w:val="24"/>
                <w:lang w:eastAsia="zh-CN"/>
              </w:rPr>
            </w:pPr>
            <w:r>
              <w:rPr>
                <w:color w:val="0070C0"/>
                <w:szCs w:val="24"/>
                <w:lang w:eastAsia="zh-CN"/>
              </w:rPr>
              <w:t>Agreements (from online session)</w:t>
            </w:r>
          </w:p>
          <w:p>
            <w:pPr>
              <w:pStyle w:val="29"/>
              <w:numPr>
                <w:ilvl w:val="0"/>
                <w:numId w:val="5"/>
              </w:numPr>
              <w:ind w:firstLineChars="0"/>
              <w:rPr>
                <w:lang w:eastAsia="ja-JP"/>
              </w:rPr>
            </w:pPr>
            <w:r>
              <w:rPr>
                <w:lang w:eastAsia="ja-JP"/>
              </w:rPr>
              <w:t xml:space="preserve">RAN4 to define measurement periods for L1 based UE-to-UE CLI measurement requirements, </w:t>
            </w:r>
          </w:p>
          <w:p>
            <w:pPr>
              <w:pStyle w:val="29"/>
              <w:numPr>
                <w:ilvl w:val="0"/>
                <w:numId w:val="5"/>
              </w:numPr>
              <w:ind w:firstLineChars="0"/>
              <w:rPr>
                <w:lang w:eastAsia="ja-JP"/>
              </w:rPr>
            </w:pPr>
            <w:r>
              <w:rPr>
                <w:lang w:eastAsia="ja-JP"/>
              </w:rPr>
              <w:t>RAN4 to discuss the number of shots for the measurement, which can be based on RAN4 simulation results and RAN1 design.</w:t>
            </w:r>
          </w:p>
          <w:p>
            <w:pPr>
              <w:pStyle w:val="29"/>
              <w:numPr>
                <w:ilvl w:val="1"/>
                <w:numId w:val="5"/>
              </w:numPr>
              <w:ind w:firstLineChars="0"/>
              <w:rPr>
                <w:lang w:eastAsia="ja-JP"/>
              </w:rPr>
            </w:pPr>
            <w:r>
              <w:rPr>
                <w:lang w:eastAsia="ja-JP"/>
              </w:rPr>
              <w:t>Number of shots for simulation: 1, 2, 3.</w:t>
            </w:r>
          </w:p>
          <w:p>
            <w:pPr>
              <w:pStyle w:val="29"/>
              <w:numPr>
                <w:ilvl w:val="1"/>
                <w:numId w:val="5"/>
              </w:numPr>
              <w:ind w:firstLineChars="0"/>
              <w:rPr>
                <w:lang w:eastAsia="ja-JP"/>
              </w:rPr>
            </w:pPr>
            <w:r>
              <w:rPr>
                <w:lang w:eastAsia="ja-JP"/>
              </w:rPr>
              <w:t>Companies to bring proposals on other simulation parameters in the next meeting.</w:t>
            </w:r>
          </w:p>
          <w:p>
            <w:pPr>
              <w:keepNext/>
              <w:keepLines/>
              <w:spacing w:before="120"/>
              <w:outlineLvl w:val="2"/>
              <w:rPr>
                <w:rFonts w:ascii="Arial" w:hAnsi="Arial"/>
                <w:b/>
                <w:bCs/>
                <w:sz w:val="18"/>
                <w:szCs w:val="18"/>
                <w:lang w:val="en-US" w:eastAsia="zh-CN"/>
              </w:rPr>
            </w:pPr>
            <w:r>
              <w:rPr>
                <w:rFonts w:ascii="Arial" w:hAnsi="Arial"/>
                <w:b/>
                <w:bCs/>
                <w:sz w:val="18"/>
                <w:szCs w:val="18"/>
                <w:lang w:val="en-GB" w:eastAsia="zh-CN"/>
              </w:rPr>
              <w:t>Issue 2-2-1: Scope of requirements for gNB-to-gNB CLI handling</w:t>
            </w:r>
          </w:p>
          <w:p>
            <w:pPr>
              <w:spacing w:after="120"/>
              <w:rPr>
                <w:color w:val="0070C0"/>
                <w:szCs w:val="24"/>
                <w:lang w:eastAsia="zh-CN"/>
              </w:rPr>
            </w:pPr>
            <w:r>
              <w:rPr>
                <w:color w:val="0070C0"/>
                <w:szCs w:val="24"/>
                <w:lang w:eastAsia="zh-CN"/>
              </w:rPr>
              <w:t>Agreements (from online session)</w:t>
            </w:r>
          </w:p>
          <w:p>
            <w:pPr>
              <w:pStyle w:val="29"/>
              <w:numPr>
                <w:ilvl w:val="0"/>
                <w:numId w:val="5"/>
              </w:numPr>
              <w:ind w:firstLineChars="0"/>
              <w:rPr>
                <w:lang w:eastAsia="ja-JP"/>
              </w:rPr>
            </w:pPr>
            <w:r>
              <w:rPr>
                <w:lang w:eastAsia="ja-JP"/>
              </w:rPr>
              <w:t>RAN4 not to define RRM requirements for gNB to gNB CLI handing.</w:t>
            </w:r>
          </w:p>
          <w:p>
            <w:pPr>
              <w:keepNext/>
              <w:keepLines/>
              <w:spacing w:before="120"/>
              <w:outlineLvl w:val="2"/>
              <w:rPr>
                <w:rFonts w:ascii="Arial" w:hAnsi="Arial"/>
                <w:b/>
                <w:bCs/>
                <w:sz w:val="18"/>
                <w:szCs w:val="18"/>
                <w:lang w:val="en-US" w:eastAsia="zh-CN"/>
              </w:rPr>
            </w:pPr>
            <w:r>
              <w:rPr>
                <w:rFonts w:ascii="Arial" w:hAnsi="Arial"/>
                <w:b/>
                <w:bCs/>
                <w:sz w:val="18"/>
                <w:szCs w:val="18"/>
                <w:lang w:val="en-US" w:eastAsia="zh-CN"/>
              </w:rPr>
              <w:t xml:space="preserve">Issue 2-3-1: Requirements for legacy UE </w:t>
            </w:r>
          </w:p>
          <w:p>
            <w:pPr>
              <w:spacing w:after="120"/>
              <w:rPr>
                <w:color w:val="0070C0"/>
                <w:szCs w:val="24"/>
                <w:lang w:eastAsia="zh-CN"/>
              </w:rPr>
            </w:pPr>
            <w:r>
              <w:rPr>
                <w:color w:val="0070C0"/>
                <w:szCs w:val="24"/>
                <w:lang w:eastAsia="zh-CN"/>
              </w:rPr>
              <w:t>Agreements (from online session)</w:t>
            </w:r>
          </w:p>
          <w:p>
            <w:pPr>
              <w:pStyle w:val="29"/>
              <w:numPr>
                <w:ilvl w:val="0"/>
                <w:numId w:val="5"/>
              </w:numPr>
              <w:ind w:firstLineChars="0"/>
              <w:rPr>
                <w:lang w:eastAsia="ja-JP"/>
              </w:rPr>
            </w:pPr>
            <w:r>
              <w:rPr>
                <w:lang w:eastAsia="ja-JP"/>
              </w:rPr>
              <w:t>The legacy UEs shall perform and operate according to the legacy RRM requirements and no new RAN4 RRM requirement for legacy UEs, despite being served by a gNB operating with SBFD.</w:t>
            </w:r>
          </w:p>
          <w:p>
            <w:pPr>
              <w:pStyle w:val="29"/>
              <w:numPr>
                <w:ilvl w:val="0"/>
                <w:numId w:val="5"/>
              </w:numPr>
              <w:ind w:firstLineChars="0"/>
              <w:rPr>
                <w:lang w:eastAsia="ja-JP"/>
              </w:rPr>
            </w:pPr>
            <w:r>
              <w:rPr>
                <w:lang w:eastAsia="ja-JP"/>
              </w:rPr>
              <w:t xml:space="preserve">Clarification on the applicability of the existing RRM requirements in RAN4 spec is not precluded. </w:t>
            </w:r>
          </w:p>
          <w:p>
            <w:pPr>
              <w:pStyle w:val="29"/>
              <w:numPr>
                <w:ilvl w:val="0"/>
                <w:numId w:val="5"/>
              </w:numPr>
              <w:ind w:firstLineChars="0"/>
              <w:rPr>
                <w:lang w:eastAsia="ja-JP"/>
              </w:rPr>
            </w:pPr>
            <w:r>
              <w:rPr>
                <w:lang w:eastAsia="ja-JP"/>
              </w:rPr>
              <w:t xml:space="preserve">The legacy UEs refer to non-SBFD aware UE. </w:t>
            </w:r>
          </w:p>
          <w:p>
            <w:pPr>
              <w:keepNext/>
              <w:keepLines/>
              <w:spacing w:before="120"/>
              <w:outlineLvl w:val="2"/>
              <w:rPr>
                <w:rFonts w:ascii="Arial" w:hAnsi="Arial"/>
                <w:b/>
                <w:bCs/>
                <w:sz w:val="18"/>
                <w:szCs w:val="18"/>
                <w:lang w:val="en-US" w:eastAsia="zh-CN"/>
              </w:rPr>
            </w:pPr>
            <w:r>
              <w:rPr>
                <w:rFonts w:ascii="Arial" w:hAnsi="Arial"/>
                <w:b/>
                <w:bCs/>
                <w:sz w:val="18"/>
                <w:szCs w:val="18"/>
                <w:lang w:val="en-US" w:eastAsia="zh-CN"/>
              </w:rPr>
              <w:t xml:space="preserve">Issue 2-3-2: Requirements for SSB based measurement </w:t>
            </w:r>
          </w:p>
          <w:p>
            <w:pPr>
              <w:spacing w:after="120"/>
              <w:rPr>
                <w:color w:val="0070C0"/>
                <w:szCs w:val="24"/>
                <w:lang w:eastAsia="zh-CN"/>
              </w:rPr>
            </w:pPr>
            <w:r>
              <w:rPr>
                <w:color w:val="0070C0"/>
                <w:szCs w:val="24"/>
                <w:lang w:eastAsia="zh-CN"/>
              </w:rPr>
              <w:t>Agreements (from online session)</w:t>
            </w:r>
          </w:p>
          <w:p>
            <w:pPr>
              <w:pStyle w:val="29"/>
              <w:numPr>
                <w:ilvl w:val="0"/>
                <w:numId w:val="5"/>
              </w:numPr>
              <w:ind w:firstLineChars="0"/>
              <w:rPr>
                <w:lang w:eastAsia="ja-JP"/>
              </w:rPr>
            </w:pPr>
            <w:r>
              <w:rPr>
                <w:lang w:eastAsia="ja-JP"/>
              </w:rPr>
              <w:t>For SBFD-aware UE, existing requirements apply for SSB-based serving cell measurement. Further discuss for SSB based neighbour cell measurement in RAN4.</w:t>
            </w:r>
          </w:p>
          <w:p>
            <w:pPr>
              <w:pStyle w:val="29"/>
              <w:numPr>
                <w:ilvl w:val="0"/>
                <w:numId w:val="5"/>
              </w:numPr>
              <w:ind w:firstLineChars="0"/>
              <w:rPr>
                <w:rFonts w:hint="default" w:cs="Arial"/>
                <w:vertAlign w:val="baseline"/>
                <w:lang w:val="en-US" w:eastAsia="zh-CN"/>
              </w:rPr>
            </w:pPr>
            <w:r>
              <w:rPr>
                <w:lang w:eastAsia="ja-JP"/>
              </w:rPr>
              <w:t>Note: The serving cell is SBFD cell, and the neighbour cell is SBFD or non-SBFD cell.</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It has been determined to not define RRM requirements for gNB-to-gNB CLI, no need further discussion. In this paper, we provide our views on the UE-to-UE CLI and SBFD operation based on RAN1 progress.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lang w:eastAsia="zh-CN"/>
        </w:rPr>
      </w:pPr>
      <w:r>
        <w:rPr>
          <w:rFonts w:hint="eastAsia"/>
          <w:lang w:val="en-US" w:eastAsia="zh-CN"/>
        </w:rPr>
        <w:t>2.1 UE-to-UE CLI</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Background of R16 CLI</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Before we diving into the discussion of R19 CLI, we can review the legacy R16 CLI measurement first. In legacy R16 CLI, only UE-to-UE CLI measurement was introduced to support dynamic TDD. Through performing the CLI-RSSI and/or SRS-RSRP measurement on the configured resource within active DL BWP, the potential victim UE can detect the interference to its DL Rx cased by the UL Tx of the aggressor UE. Both the SRS-RSRP and CLI-RSSI measurements are L3 measurement, L3 filtering allowed to the measurement results. RAN4 decided the measurement requirements and accuracy requirements for the two types of CLI resource.</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When identifying the accuracy of SRS-RSRP measurement, the side condition of timing offset between UE</w:t>
      </w:r>
      <w:r>
        <w:rPr>
          <w:rFonts w:hint="default" w:cs="Arial"/>
          <w:lang w:val="en-US" w:eastAsia="zh-CN"/>
        </w:rPr>
        <w:t>’</w:t>
      </w:r>
      <w:r>
        <w:rPr>
          <w:rFonts w:hint="eastAsia" w:cs="Arial"/>
          <w:lang w:val="en-US" w:eastAsia="zh-CN"/>
        </w:rPr>
        <w:t xml:space="preserve">s DL reference timing in the serving cell and SRS arrival time was decided as </w:t>
      </w:r>
      <w:r>
        <w:t>T</w:t>
      </w:r>
      <w:r>
        <w:rPr>
          <w:vertAlign w:val="subscript"/>
        </w:rPr>
        <w:t>error_SRS_RSRP</w:t>
      </w:r>
      <w:r>
        <w:rPr>
          <w:rFonts w:hint="eastAsia" w:cs="Arial"/>
          <w:lang w:val="en-US" w:eastAsia="zh-CN"/>
        </w:rPr>
        <w:t>, defined in clause 10.1.22.1 in [6].</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cs="Arial"/>
          <w:lang w:val="en-US" w:eastAsia="zh-CN"/>
        </w:rPr>
        <w:t xml:space="preserve">Since no QCL-type D info was configured for the CLI resource in FR2, so the beam assumption of CLI resource is defined in [6] as the </w:t>
      </w:r>
      <w:r>
        <w:rPr>
          <w:lang w:eastAsia="ko-KR"/>
        </w:rPr>
        <w:t>UE can assume the configured CLI measurement resources are QCL-ed with TypeD to one of the latest received PDSCH and the latest monitored CORESET.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Based on RAN1 progress until RAN1#117 meeting[3][4][5], the framework of UE-to-UE CLI is depicted from the following aspects.</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eastAsia" w:cs="Arial"/>
          <w:lang w:val="en-US" w:eastAsia="zh-CN"/>
        </w:rPr>
      </w:pPr>
      <w:r>
        <w:rPr>
          <w:rFonts w:hint="eastAsia" w:cs="Arial"/>
          <w:lang w:val="en-US" w:eastAsia="zh-CN"/>
        </w:rPr>
        <w:t>Measurement type</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840" w:leftChars="0" w:hanging="420" w:firstLineChars="0"/>
        <w:textAlignment w:val="auto"/>
        <w:rPr>
          <w:rFonts w:hint="eastAsia" w:cs="Arial"/>
          <w:lang w:val="en-US" w:eastAsia="zh-CN"/>
        </w:rPr>
      </w:pPr>
      <w:r>
        <w:rPr>
          <w:rFonts w:hint="eastAsia" w:cs="Arial"/>
          <w:lang w:val="en-US" w:eastAsia="zh-CN"/>
        </w:rPr>
        <w:t>The UE-to-UE CLI is L1 measurement, no longer L3 measurement, which is distinguished from legacy R16 CLI;</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eastAsia" w:cs="Arial"/>
          <w:lang w:val="en-US" w:eastAsia="zh-CN"/>
        </w:rPr>
      </w:pPr>
      <w:r>
        <w:rPr>
          <w:rFonts w:hint="eastAsia" w:cs="Arial"/>
          <w:lang w:val="en-US" w:eastAsia="zh-CN"/>
        </w:rPr>
        <w:t>Measurement resource</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The UE-to-UE CLI also contains SRS-RSRP measurement and CLI-RSSI measurement. The measurement resource could be periodic, semi-persistent or aperiodic resource (set). The SRS-RSRP measurement resource is based on the legacy RS pattern, no new pattern introduced.</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How to determine the QCL typeD assumption of the CLI resource, still FFS.</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eastAsia" w:cs="Arial"/>
          <w:lang w:val="en-US" w:eastAsia="zh-CN"/>
        </w:rPr>
      </w:pPr>
      <w:r>
        <w:rPr>
          <w:rFonts w:hint="eastAsia" w:cs="Arial"/>
          <w:lang w:val="en-US" w:eastAsia="zh-CN"/>
        </w:rPr>
        <w:t>Measurement reporting</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default" w:cs="Arial"/>
          <w:lang w:val="en-US" w:eastAsia="zh-CN"/>
        </w:rPr>
        <w:t>At least aperiodic reporting</w:t>
      </w:r>
      <w:r>
        <w:rPr>
          <w:rFonts w:hint="eastAsia" w:cs="Arial"/>
          <w:lang w:val="en-US" w:eastAsia="zh-CN"/>
        </w:rPr>
        <w:t xml:space="preserve"> supported.</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The report quantities includes: L1-SRS-RSRP, L1-CLI-RSSI and/or measurement resource indices.</w:t>
      </w:r>
    </w:p>
    <w:p>
      <w:pPr>
        <w:pStyle w:val="9"/>
        <w:bidi w:val="0"/>
        <w:rPr>
          <w:rFonts w:hint="eastAsia"/>
          <w:b/>
          <w:bCs/>
          <w:lang w:val="en-US" w:eastAsia="zh-CN"/>
        </w:rPr>
      </w:pPr>
      <w:r>
        <w:rPr>
          <w:rFonts w:hint="eastAsia"/>
          <w:b/>
          <w:bCs/>
          <w:lang w:val="en-US" w:eastAsia="zh-CN"/>
        </w:rPr>
        <w:t xml:space="preserve">Observation 1: The R19 UE-to-UE CLI measurement is determined as L1 measurement, both SRS-RSRP measurement and CLI-RSSI measurement are allowed, the resource can be configured as periodic, semi-persistent, or aperiodic resource. At least aperiodic reporting supported. </w:t>
      </w:r>
    </w:p>
    <w:p>
      <w:pPr>
        <w:pStyle w:val="9"/>
        <w:bidi w:val="0"/>
        <w:rPr>
          <w:rFonts w:hint="default"/>
          <w:b/>
          <w:bCs/>
          <w:lang w:val="en-US" w:eastAsia="zh-CN"/>
        </w:rPr>
      </w:pPr>
      <w:r>
        <w:rPr>
          <w:rFonts w:hint="eastAsia"/>
          <w:b/>
          <w:bCs/>
          <w:lang w:val="en-US" w:eastAsia="zh-CN"/>
        </w:rPr>
        <w:t>Observation 2: The QCL typeD assumption of the CLI resource is configured or determined by the NW.</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From RAN4 perspective, we analysis the UE-to-UE CLI from the following the following aspects:</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Inter-cell CLI and/or intra-cell CLI</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textAlignment w:val="auto"/>
        <w:rPr>
          <w:rFonts w:hint="default" w:cs="Arial"/>
          <w:lang w:val="en-US" w:eastAsia="zh-CN"/>
        </w:rPr>
      </w:pPr>
      <w:r>
        <w:rPr>
          <w:rFonts w:hint="default" w:cs="Arial"/>
          <w:lang w:val="en-US" w:eastAsia="zh-CN"/>
        </w:rPr>
        <w:t>Measurement period requirements</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eastAsia" w:cs="Arial"/>
          <w:lang w:val="en-US" w:eastAsia="zh-CN"/>
        </w:rPr>
        <w:t>Side condition</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 xml:space="preserve">Accuracy requirements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b w:val="0"/>
          <w:bCs w:val="0"/>
          <w:u w:val="single"/>
          <w:lang w:val="en-US" w:eastAsia="zh-CN"/>
        </w:rPr>
        <w:t>Inter-cell CLI and/or intra-cell CLI</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It should be noted that it is clarified in RAN1 note as below, no specification impact for SRS configuration information exchange between gNBs. In last meeting, when discussing the side condition especially the condition of time offset, it is proposed that different time offset be assumed for intra-cell and inter-cell CLI measurement. If we look at the RAN1 agreement highlighted blue, it seems that the inter-cell CLI resource configuration is up to NW implementation.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0"/>
              </w:numPr>
              <w:suppressAutoHyphens/>
              <w:kinsoku/>
              <w:wordWrap/>
              <w:overflowPunct/>
              <w:topLinePunct w:val="0"/>
              <w:autoSpaceDE/>
              <w:autoSpaceDN/>
              <w:bidi w:val="0"/>
              <w:adjustRightInd/>
              <w:snapToGrid w:val="0"/>
              <w:spacing w:after="0" w:line="240" w:lineRule="auto"/>
              <w:textAlignment w:val="auto"/>
              <w:rPr>
                <w:rFonts w:hint="default" w:eastAsia="宋体"/>
                <w:szCs w:val="20"/>
                <w:lang w:val="en-US" w:eastAsia="zh-CN"/>
              </w:rPr>
            </w:pPr>
            <w:r>
              <w:rPr>
                <w:rFonts w:hint="eastAsia" w:eastAsia="宋体"/>
                <w:szCs w:val="20"/>
                <w:highlight w:val="green"/>
                <w:lang w:val="en-US" w:eastAsia="zh-CN"/>
              </w:rPr>
              <w:t>Agreement</w:t>
            </w:r>
            <w:r>
              <w:rPr>
                <w:rFonts w:hint="eastAsia" w:eastAsia="宋体"/>
                <w:szCs w:val="20"/>
                <w:lang w:val="en-US" w:eastAsia="zh-CN"/>
              </w:rPr>
              <w:t>: (RAN1#117)</w:t>
            </w:r>
          </w:p>
          <w:p>
            <w:pPr>
              <w:keepNext w:val="0"/>
              <w:keepLines w:val="0"/>
              <w:pageBreakBefore w:val="0"/>
              <w:widowControl w:val="0"/>
              <w:numPr>
                <w:ilvl w:val="0"/>
                <w:numId w:val="11"/>
              </w:numPr>
              <w:suppressAutoHyphens/>
              <w:kinsoku/>
              <w:wordWrap/>
              <w:overflowPunct/>
              <w:topLinePunct w:val="0"/>
              <w:autoSpaceDE/>
              <w:autoSpaceDN/>
              <w:bidi w:val="0"/>
              <w:adjustRightInd/>
              <w:snapToGrid w:val="0"/>
              <w:spacing w:after="0" w:line="240" w:lineRule="auto"/>
              <w:textAlignment w:val="auto"/>
              <w:rPr>
                <w:szCs w:val="20"/>
              </w:rPr>
            </w:pPr>
            <w:r>
              <w:rPr>
                <w:szCs w:val="20"/>
              </w:rPr>
              <w:t xml:space="preserve">L1 based UE-to-UE CLI measurement and reporting based on existing CSI framework, including [RAN1, RAN2, RAN4] </w:t>
            </w:r>
          </w:p>
          <w:p>
            <w:pPr>
              <w:keepNext w:val="0"/>
              <w:keepLines w:val="0"/>
              <w:pageBreakBefore w:val="0"/>
              <w:widowControl w:val="0"/>
              <w:numPr>
                <w:ilvl w:val="1"/>
                <w:numId w:val="11"/>
              </w:numPr>
              <w:suppressAutoHyphens/>
              <w:kinsoku/>
              <w:wordWrap/>
              <w:overflowPunct/>
              <w:topLinePunct w:val="0"/>
              <w:autoSpaceDE/>
              <w:autoSpaceDN/>
              <w:bidi w:val="0"/>
              <w:adjustRightInd/>
              <w:snapToGrid w:val="0"/>
              <w:spacing w:after="0" w:line="240" w:lineRule="auto"/>
              <w:textAlignment w:val="auto"/>
              <w:rPr>
                <w:rFonts w:eastAsia="宋体"/>
                <w:szCs w:val="20"/>
              </w:rPr>
            </w:pPr>
            <w:r>
              <w:rPr>
                <w:rFonts w:eastAsia="宋体"/>
                <w:szCs w:val="20"/>
              </w:rPr>
              <w:t>Measurement resources</w:t>
            </w:r>
          </w:p>
          <w:p>
            <w:pPr>
              <w:pStyle w:val="29"/>
              <w:keepNext w:val="0"/>
              <w:keepLines w:val="0"/>
              <w:pageBreakBefore w:val="0"/>
              <w:widowControl w:val="0"/>
              <w:numPr>
                <w:ilvl w:val="0"/>
                <w:numId w:val="11"/>
              </w:numPr>
              <w:suppressAutoHyphens/>
              <w:kinsoku/>
              <w:wordWrap/>
              <w:overflowPunct/>
              <w:topLinePunct w:val="0"/>
              <w:autoSpaceDE/>
              <w:autoSpaceDN/>
              <w:bidi w:val="0"/>
              <w:adjustRightInd/>
              <w:snapToGrid w:val="0"/>
              <w:spacing w:after="0" w:line="240" w:lineRule="auto"/>
              <w:ind w:left="1320" w:leftChars="0"/>
              <w:jc w:val="both"/>
              <w:textAlignment w:val="auto"/>
              <w:rPr>
                <w:rFonts w:eastAsia="宋体"/>
                <w:szCs w:val="20"/>
              </w:rPr>
            </w:pPr>
            <w:r>
              <w:rPr>
                <w:rFonts w:eastAsia="宋体"/>
                <w:szCs w:val="20"/>
              </w:rPr>
              <w:t xml:space="preserve">Periodic, semi-persistent, or aperiodic measurement resource (set), i.e., SRS-RSRP resource or CLI-RSSI resource  </w:t>
            </w:r>
          </w:p>
          <w:p>
            <w:pPr>
              <w:pStyle w:val="29"/>
              <w:keepNext w:val="0"/>
              <w:keepLines w:val="0"/>
              <w:pageBreakBefore w:val="0"/>
              <w:widowControl w:val="0"/>
              <w:numPr>
                <w:ilvl w:val="1"/>
                <w:numId w:val="11"/>
              </w:numPr>
              <w:suppressAutoHyphens/>
              <w:kinsoku/>
              <w:wordWrap/>
              <w:overflowPunct/>
              <w:topLinePunct w:val="0"/>
              <w:autoSpaceDE/>
              <w:autoSpaceDN/>
              <w:bidi w:val="0"/>
              <w:adjustRightInd/>
              <w:snapToGrid w:val="0"/>
              <w:spacing w:after="0" w:line="240" w:lineRule="auto"/>
              <w:ind w:left="2040" w:leftChars="0"/>
              <w:jc w:val="both"/>
              <w:textAlignment w:val="auto"/>
              <w:rPr>
                <w:rFonts w:eastAsia="宋体"/>
                <w:szCs w:val="20"/>
              </w:rPr>
            </w:pPr>
            <w:r>
              <w:rPr>
                <w:rFonts w:hint="eastAsia" w:eastAsia="宋体"/>
                <w:szCs w:val="20"/>
              </w:rPr>
              <w:t>N</w:t>
            </w:r>
            <w:r>
              <w:rPr>
                <w:rFonts w:eastAsia="宋体"/>
                <w:szCs w:val="20"/>
              </w:rPr>
              <w:t xml:space="preserve">ote: The measurement resources for SRS-RSRP are based on the existing legacy RS patterns. </w:t>
            </w:r>
            <w:r>
              <w:rPr>
                <w:rFonts w:eastAsia="宋体"/>
                <w:szCs w:val="20"/>
                <w:highlight w:val="cyan"/>
              </w:rPr>
              <w:t xml:space="preserve">No specification impact for </w:t>
            </w:r>
            <w:r>
              <w:rPr>
                <w:rFonts w:eastAsia="Times New Roman" w:cs="宋体"/>
                <w:highlight w:val="cyan"/>
              </w:rPr>
              <w:t>SRS configuration information exchange between gNBs.</w:t>
            </w:r>
          </w:p>
          <w:p>
            <w:pPr>
              <w:pStyle w:val="29"/>
              <w:keepNext w:val="0"/>
              <w:keepLines w:val="0"/>
              <w:pageBreakBefore w:val="0"/>
              <w:widowControl w:val="0"/>
              <w:numPr>
                <w:ilvl w:val="0"/>
                <w:numId w:val="11"/>
              </w:numPr>
              <w:suppressAutoHyphens/>
              <w:kinsoku/>
              <w:wordWrap/>
              <w:overflowPunct/>
              <w:topLinePunct w:val="0"/>
              <w:autoSpaceDE/>
              <w:autoSpaceDN/>
              <w:bidi w:val="0"/>
              <w:adjustRightInd/>
              <w:snapToGrid w:val="0"/>
              <w:spacing w:after="0" w:line="240" w:lineRule="auto"/>
              <w:ind w:left="1320" w:leftChars="0"/>
              <w:jc w:val="both"/>
              <w:textAlignment w:val="auto"/>
              <w:rPr>
                <w:rFonts w:hint="eastAsia"/>
                <w:b/>
                <w:bCs/>
                <w:vertAlign w:val="baseline"/>
                <w:lang w:val="en-US" w:eastAsia="zh-CN"/>
              </w:rPr>
            </w:pPr>
            <w:r>
              <w:rPr>
                <w:rFonts w:eastAsia="宋体"/>
                <w:szCs w:val="20"/>
              </w:rPr>
              <w:t xml:space="preserve">Configuration/Determination of ‘typeD’ </w:t>
            </w:r>
            <w:r>
              <w:rPr>
                <w:rFonts w:hint="eastAsia" w:eastAsia="宋体"/>
                <w:szCs w:val="20"/>
              </w:rPr>
              <w:t>QCL</w:t>
            </w:r>
            <w:r>
              <w:rPr>
                <w:rFonts w:eastAsia="宋体"/>
                <w:szCs w:val="20"/>
              </w:rPr>
              <w:t xml:space="preserve"> assumptions for the CLI measurement resource</w:t>
            </w:r>
          </w:p>
        </w:tc>
      </w:tr>
    </w:tbl>
    <w:p>
      <w:pPr>
        <w:pStyle w:val="9"/>
        <w:bidi w:val="0"/>
        <w:rPr>
          <w:rFonts w:hint="eastAsia" w:cs="Arial"/>
          <w:lang w:val="en-US" w:eastAsia="zh-CN"/>
        </w:rPr>
      </w:pPr>
      <w:r>
        <w:rPr>
          <w:rFonts w:hint="eastAsia"/>
          <w:b/>
          <w:bCs/>
          <w:lang w:val="en-US" w:eastAsia="zh-CN"/>
        </w:rPr>
        <w:t>Observation 3: For the CLI resource configuration, due to no info exchange between gNBs, both intra-cell and inter-cell CLI resource configuration is up to NW implementation.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 xml:space="preserve">Furthermore, based on the following progress, RAN3 would discuss the SBFD configuration exchange between cells. To our understanding, until now, neither of the two possibilities including same SBFD T/F configuration and different SBFD T/F configuration between SBFD cells is excluded.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uppressAutoHyphens/>
              <w:rPr>
                <w:rFonts w:hint="default" w:eastAsia="宋体"/>
                <w:b w:val="0"/>
                <w:bCs/>
                <w:highlight w:val="green"/>
                <w:lang w:val="en-US" w:eastAsia="zh-CN"/>
              </w:rPr>
            </w:pPr>
            <w:r>
              <w:rPr>
                <w:rFonts w:eastAsia="宋体"/>
                <w:b w:val="0"/>
                <w:bCs/>
                <w:highlight w:val="green"/>
              </w:rPr>
              <w:t>Agreement</w:t>
            </w:r>
            <w:r>
              <w:rPr>
                <w:rFonts w:hint="eastAsia" w:eastAsia="宋体"/>
                <w:b w:val="0"/>
                <w:bCs/>
                <w:highlight w:val="green"/>
                <w:lang w:val="en-US" w:eastAsia="zh-CN"/>
              </w:rPr>
              <w:t>:</w:t>
            </w:r>
            <w:r>
              <w:rPr>
                <w:rFonts w:hint="eastAsia" w:eastAsia="宋体"/>
                <w:b w:val="0"/>
                <w:bCs/>
                <w:highlight w:val="none"/>
                <w:lang w:val="en-US" w:eastAsia="zh-CN"/>
              </w:rPr>
              <w:t xml:space="preserve"> (RAN1#116bis)</w:t>
            </w:r>
          </w:p>
          <w:p>
            <w:pPr>
              <w:suppressAutoHyphens/>
              <w:rPr>
                <w:rFonts w:eastAsia="宋体"/>
                <w:szCs w:val="20"/>
              </w:rPr>
            </w:pPr>
            <w:r>
              <w:rPr>
                <w:rFonts w:eastAsia="宋体"/>
                <w:szCs w:val="20"/>
              </w:rPr>
              <w:t xml:space="preserve">If coordinated scheduling in time and/or frequency is supported for gNB-to-gNB CLI handling and UE-to-UE CLI handling, the following </w:t>
            </w:r>
            <w:r>
              <w:rPr>
                <w:rFonts w:hint="eastAsia" w:eastAsia="宋体"/>
                <w:szCs w:val="20"/>
              </w:rPr>
              <w:t>is</w:t>
            </w:r>
            <w:r>
              <w:rPr>
                <w:rFonts w:eastAsia="宋体"/>
                <w:szCs w:val="20"/>
              </w:rPr>
              <w:t xml:space="preserve"> </w:t>
            </w:r>
            <w:r>
              <w:rPr>
                <w:rFonts w:hint="eastAsia" w:eastAsia="宋体"/>
                <w:szCs w:val="20"/>
              </w:rPr>
              <w:t>recommended</w:t>
            </w:r>
            <w:r>
              <w:rPr>
                <w:rFonts w:eastAsia="宋体"/>
                <w:szCs w:val="20"/>
              </w:rPr>
              <w:t xml:space="preserve"> to be specified</w:t>
            </w:r>
          </w:p>
          <w:p>
            <w:pPr>
              <w:pStyle w:val="29"/>
              <w:widowControl w:val="0"/>
              <w:numPr>
                <w:ilvl w:val="0"/>
                <w:numId w:val="12"/>
              </w:numPr>
              <w:adjustRightInd w:val="0"/>
              <w:snapToGrid w:val="0"/>
              <w:ind w:left="0" w:leftChars="0"/>
              <w:jc w:val="both"/>
              <w:rPr>
                <w:rFonts w:hint="eastAsia"/>
                <w:b/>
                <w:bCs/>
                <w:vertAlign w:val="baseline"/>
                <w:lang w:val="en-US" w:eastAsia="zh-CN"/>
              </w:rPr>
            </w:pPr>
            <w:r>
              <w:rPr>
                <w:szCs w:val="20"/>
              </w:rPr>
              <w:t xml:space="preserve">Information exchange of semi-static cell-specific SBFD </w:t>
            </w:r>
            <w:r>
              <w:rPr>
                <w:szCs w:val="20"/>
                <w:lang w:eastAsia="ja-JP"/>
              </w:rPr>
              <w:t xml:space="preserve">time and frequency location </w:t>
            </w:r>
            <w:r>
              <w:rPr>
                <w:szCs w:val="20"/>
              </w:rPr>
              <w:t>configuration</w:t>
            </w:r>
          </w:p>
          <w:p>
            <w:pPr>
              <w:rPr>
                <w:rFonts w:hint="eastAsia" w:eastAsia="宋体"/>
                <w:b/>
                <w:bCs/>
                <w:lang w:val="en-US" w:eastAsia="zh-CN"/>
              </w:rPr>
            </w:pPr>
            <w:r>
              <w:rPr>
                <w:b w:val="0"/>
                <w:bCs w:val="0"/>
                <w:highlight w:val="green"/>
                <w:lang w:eastAsia="ko-KR"/>
              </w:rPr>
              <w:t>Agreement</w:t>
            </w:r>
            <w:r>
              <w:rPr>
                <w:rFonts w:hint="eastAsia" w:eastAsia="宋体"/>
                <w:b w:val="0"/>
                <w:bCs w:val="0"/>
                <w:highlight w:val="green"/>
                <w:lang w:val="en-US" w:eastAsia="zh-CN"/>
              </w:rPr>
              <w:t>:</w:t>
            </w:r>
            <w:r>
              <w:rPr>
                <w:rFonts w:hint="eastAsia" w:eastAsia="宋体"/>
                <w:szCs w:val="20"/>
                <w:lang w:val="en-US" w:eastAsia="zh-CN"/>
              </w:rPr>
              <w:t xml:space="preserve"> (RAN1#117)</w:t>
            </w:r>
          </w:p>
          <w:p>
            <w:pPr>
              <w:adjustRightInd w:val="0"/>
            </w:pPr>
            <w:r>
              <w:rPr>
                <w:szCs w:val="20"/>
              </w:rPr>
              <w:t>For enhancements for CLI handling, the following are recommended from RAN1's perspective:</w:t>
            </w:r>
          </w:p>
          <w:p>
            <w:pPr>
              <w:numPr>
                <w:ilvl w:val="0"/>
                <w:numId w:val="11"/>
              </w:numPr>
              <w:suppressAutoHyphens/>
              <w:snapToGrid w:val="0"/>
              <w:rPr>
                <w:szCs w:val="20"/>
              </w:rPr>
            </w:pPr>
            <w:r>
              <w:rPr>
                <w:szCs w:val="20"/>
              </w:rPr>
              <w:t>Information exchange of semi-static cell-specific SBFD time and frequency location configuration [RAN3]</w:t>
            </w:r>
          </w:p>
          <w:p>
            <w:pPr>
              <w:numPr>
                <w:ilvl w:val="0"/>
                <w:numId w:val="11"/>
              </w:numPr>
              <w:suppressAutoHyphens/>
              <w:snapToGrid w:val="0"/>
              <w:rPr>
                <w:rFonts w:hint="eastAsia"/>
                <w:b/>
                <w:bCs/>
                <w:vertAlign w:val="baseline"/>
                <w:lang w:val="en-US" w:eastAsia="zh-CN"/>
              </w:rPr>
            </w:pPr>
            <w:r>
              <w:rPr>
                <w:szCs w:val="20"/>
              </w:rPr>
              <w:t>Information exchange of measurement resource configuration, i.e., SSB and/or periodic NZP CSI-RS [RAN3]</w:t>
            </w:r>
          </w:p>
        </w:tc>
      </w:tr>
    </w:tbl>
    <w:p>
      <w:pPr>
        <w:pStyle w:val="9"/>
        <w:bidi w:val="0"/>
        <w:rPr>
          <w:rFonts w:hint="default"/>
          <w:b/>
          <w:bCs/>
          <w:lang w:val="en-US" w:eastAsia="zh-CN"/>
        </w:rPr>
      </w:pPr>
      <w:r>
        <w:rPr>
          <w:rFonts w:hint="eastAsia"/>
          <w:b/>
          <w:bCs/>
          <w:lang w:val="en-US" w:eastAsia="zh-CN"/>
        </w:rPr>
        <w:t>Observation 4: Until now, neither of the two possibilities including same SBFD T/F configuration and different SBFD T/F configuration between SBFD cells is excluded.</w:t>
      </w:r>
    </w:p>
    <w:p>
      <w:pPr>
        <w:pStyle w:val="9"/>
        <w:bidi w:val="0"/>
        <w:rPr>
          <w:rFonts w:hint="default" w:cs="Arial"/>
          <w:lang w:val="en-US" w:eastAsia="zh-CN"/>
        </w:rPr>
      </w:pPr>
      <w:r>
        <w:rPr>
          <w:rFonts w:hint="eastAsia" w:cs="Arial"/>
          <w:lang w:val="en-US" w:eastAsia="zh-CN"/>
        </w:rPr>
        <w:t xml:space="preserve">From this point of view, we believe both intra-cell and inter-cell CLI measurements are beneficial to help the NW be aware of the intra-cell and inter-cell DL/UL interference avoidance. For the case of aligned SBFD configuration between cells, the intra-cell CLI benefits the DL/UL interference avoidance mainly.  Whereas for the case of disaligned SBFD configuration between cells, both intra-cell and inter-cell CLI contribute to the DL/UL interference avoidance.  </w:t>
      </w:r>
    </w:p>
    <w:p>
      <w:pPr>
        <w:pStyle w:val="9"/>
        <w:bidi w:val="0"/>
        <w:rPr>
          <w:rFonts w:hint="eastAsia"/>
          <w:b/>
          <w:bCs/>
          <w:lang w:val="en-US" w:eastAsia="zh-CN"/>
        </w:rPr>
      </w:pPr>
      <w:r>
        <w:rPr>
          <w:rFonts w:hint="eastAsia" w:cs="Arial"/>
          <w:lang w:val="en-US" w:eastAsia="zh-CN"/>
        </w:rPr>
        <w:t>However from the UE perspective, the victim UE performs CLI measurement on the RSSI/RSRP CLI resource, regardless the aggressor UEs are intra-cell or inter-cell, which is transparent to the victim UE.</w:t>
      </w:r>
    </w:p>
    <w:p>
      <w:pPr>
        <w:pStyle w:val="9"/>
        <w:bidi w:val="0"/>
        <w:rPr>
          <w:rFonts w:hint="eastAsia" w:cs="Arial"/>
          <w:b w:val="0"/>
          <w:bCs w:val="0"/>
          <w:u w:val="single"/>
          <w:lang w:val="en-US" w:eastAsia="zh-CN"/>
        </w:rPr>
      </w:pPr>
      <w:r>
        <w:rPr>
          <w:rFonts w:hint="eastAsia"/>
          <w:b/>
          <w:bCs/>
          <w:lang w:val="en-US" w:eastAsia="zh-CN"/>
        </w:rPr>
        <w:t>Proposal 1: Both intra-cell and inter-cell CLI measurements are considered for UE-to-UE CLI.</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r>
        <w:rPr>
          <w:rFonts w:hint="eastAsia" w:cs="Arial"/>
          <w:b w:val="0"/>
          <w:bCs w:val="0"/>
          <w:u w:val="single"/>
          <w:lang w:val="en-US" w:eastAsia="zh-CN"/>
        </w:rPr>
        <w:t>Measurement period requirements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UE-to-UE CLI measurement, currently there are 3 methods are on the table based on recent RAN1 progress: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sz w:val="18"/>
                <w:szCs w:val="18"/>
                <w:highlight w:val="green"/>
              </w:rPr>
            </w:pPr>
            <w:r>
              <w:rPr>
                <w:b/>
                <w:sz w:val="18"/>
                <w:szCs w:val="18"/>
                <w:highlight w:val="green"/>
              </w:rPr>
              <w:t>Agreement</w:t>
            </w:r>
          </w:p>
          <w:p>
            <w:pPr>
              <w:suppressAutoHyphens/>
              <w:rPr>
                <w:rFonts w:eastAsia="宋体"/>
              </w:rPr>
            </w:pPr>
            <w:r>
              <w:rPr>
                <w:rFonts w:eastAsia="宋体"/>
              </w:rPr>
              <w:t>For L1 UE-to-UE CLI measurement and reporting, CLI measurements is performed within the active DL BWP and the following are supported</w:t>
            </w:r>
          </w:p>
          <w:p>
            <w:pPr>
              <w:pStyle w:val="29"/>
              <w:widowControl w:val="0"/>
              <w:numPr>
                <w:ilvl w:val="0"/>
                <w:numId w:val="13"/>
              </w:numPr>
              <w:suppressAutoHyphens/>
              <w:adjustRightInd w:val="0"/>
              <w:snapToGrid w:val="0"/>
              <w:ind w:leftChars="0"/>
              <w:jc w:val="both"/>
              <w:rPr>
                <w:rFonts w:eastAsia="宋体"/>
              </w:rPr>
            </w:pPr>
            <w:r>
              <w:rPr>
                <w:rFonts w:eastAsia="宋体"/>
              </w:rPr>
              <w:t>Method#1: UE measures RSSI within DL subband</w:t>
            </w:r>
          </w:p>
          <w:p>
            <w:pPr>
              <w:pStyle w:val="29"/>
              <w:widowControl w:val="0"/>
              <w:numPr>
                <w:ilvl w:val="0"/>
                <w:numId w:val="13"/>
              </w:numPr>
              <w:suppressAutoHyphens/>
              <w:adjustRightInd w:val="0"/>
              <w:snapToGrid w:val="0"/>
              <w:ind w:leftChars="0"/>
              <w:jc w:val="both"/>
              <w:rPr>
                <w:rFonts w:eastAsia="宋体"/>
              </w:rPr>
            </w:pPr>
            <w:r>
              <w:rPr>
                <w:rFonts w:eastAsia="宋体"/>
              </w:rPr>
              <w:t>Method#2: UE measures RSRP of aggressor UE within UL subband</w:t>
            </w:r>
          </w:p>
          <w:p>
            <w:pPr>
              <w:pStyle w:val="29"/>
              <w:widowControl w:val="0"/>
              <w:numPr>
                <w:ilvl w:val="0"/>
                <w:numId w:val="13"/>
              </w:numPr>
              <w:suppressAutoHyphens/>
              <w:adjustRightInd w:val="0"/>
              <w:snapToGrid w:val="0"/>
              <w:ind w:leftChars="0"/>
              <w:jc w:val="both"/>
              <w:rPr>
                <w:rFonts w:hint="default" w:cs="Arial"/>
                <w:vertAlign w:val="baseline"/>
                <w:lang w:val="en-US" w:eastAsia="zh-CN"/>
              </w:rPr>
            </w:pPr>
            <w:r>
              <w:rPr>
                <w:rFonts w:eastAsia="宋体"/>
              </w:rPr>
              <w:t>FFS: Method#3: UE measures RSSI within UL subband</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Within the 3 methods, only Method#1 is direct measurement, by which the victim UE can directly detect the RSSI in the DL subband, the interference to the UE Rx in DL subband can be inferred. The other two are both indirect measurements, victim UE senses the RSRP/RSSI of the UL subband, after receiving such CLI report, NW could estimate the interference leakage to the Rx operation on the DL subband of the victim UE. We believe the measurement period requirements under different methods should be discussed one by one.</w:t>
      </w:r>
    </w:p>
    <w:p>
      <w:pPr>
        <w:pStyle w:val="9"/>
        <w:bidi w:val="0"/>
        <w:rPr>
          <w:rFonts w:hint="eastAsia"/>
          <w:b/>
          <w:bCs/>
          <w:lang w:val="en-US" w:eastAsia="zh-CN"/>
        </w:rPr>
      </w:pPr>
      <w:r>
        <w:rPr>
          <w:rFonts w:hint="eastAsia"/>
          <w:b/>
          <w:bCs/>
          <w:lang w:val="en-US" w:eastAsia="zh-CN"/>
        </w:rPr>
        <w:t>Proposal 2: The measurement period requirements for the three candidate UE-to-UE CLI measurements should be discussed one by one.</w:t>
      </w:r>
    </w:p>
    <w:p>
      <w:pPr>
        <w:pStyle w:val="9"/>
        <w:bidi w:val="0"/>
        <w:rPr>
          <w:rFonts w:hint="eastAsia" w:cs="Arial"/>
          <w:kern w:val="0"/>
          <w:sz w:val="20"/>
          <w:szCs w:val="24"/>
          <w:lang w:val="en-US" w:eastAsia="zh-CN" w:bidi="ar-SA"/>
        </w:rPr>
      </w:pPr>
      <w:r>
        <w:rPr>
          <w:rFonts w:hint="eastAsia" w:cs="Arial"/>
          <w:kern w:val="0"/>
          <w:sz w:val="20"/>
          <w:szCs w:val="24"/>
          <w:lang w:val="en-US" w:eastAsia="zh-CN" w:bidi="ar-SA"/>
        </w:rPr>
        <w:t>Based on last meeting agreements, RAN4 could determine the number of shots for measurement based on evaluation. Before entering into the simulation details, the parameter assumption should be aligned between companies. After reviewing the R16 CLI evaluation discussion and progress, so as to reuse the R16 simulation assumption as much as possible, the following assumptions for the SRS-RSRP simultation are preferred by us:</w:t>
      </w:r>
    </w:p>
    <w:tbl>
      <w:tblPr>
        <w:tblStyle w:val="17"/>
        <w:tblW w:w="10333" w:type="dxa"/>
        <w:jc w:val="center"/>
        <w:tblLayout w:type="autofit"/>
        <w:tblCellMar>
          <w:top w:w="0" w:type="dxa"/>
          <w:left w:w="99" w:type="dxa"/>
          <w:bottom w:w="0" w:type="dxa"/>
          <w:right w:w="99" w:type="dxa"/>
        </w:tblCellMar>
      </w:tblPr>
      <w:tblGrid>
        <w:gridCol w:w="1238"/>
        <w:gridCol w:w="1749"/>
        <w:gridCol w:w="1826"/>
        <w:gridCol w:w="2514"/>
        <w:gridCol w:w="3006"/>
      </w:tblGrid>
      <w:tr>
        <w:tblPrEx>
          <w:tblCellMar>
            <w:top w:w="0" w:type="dxa"/>
            <w:left w:w="99" w:type="dxa"/>
            <w:bottom w:w="0" w:type="dxa"/>
            <w:right w:w="99" w:type="dxa"/>
          </w:tblCellMar>
        </w:tblPrEx>
        <w:trPr>
          <w:trHeight w:val="345" w:hRule="atLeast"/>
          <w:jc w:val="center"/>
        </w:trPr>
        <w:tc>
          <w:tcPr>
            <w:tcW w:w="2977" w:type="dxa"/>
            <w:gridSpan w:val="2"/>
            <w:tcBorders>
              <w:top w:val="single" w:color="auto" w:sz="8" w:space="0"/>
              <w:left w:val="single" w:color="auto" w:sz="8" w:space="0"/>
              <w:bottom w:val="single" w:color="auto" w:sz="8" w:space="0"/>
              <w:right w:val="single" w:color="000000"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Parameters</w:t>
            </w:r>
          </w:p>
        </w:tc>
        <w:tc>
          <w:tcPr>
            <w:tcW w:w="7356" w:type="dxa"/>
            <w:gridSpan w:val="3"/>
            <w:tcBorders>
              <w:top w:val="single" w:color="auto" w:sz="8" w:space="0"/>
              <w:left w:val="nil"/>
              <w:bottom w:val="nil"/>
              <w:right w:val="single" w:color="000000"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 xml:space="preserve">Value </w:t>
            </w:r>
          </w:p>
        </w:tc>
      </w:tr>
      <w:tr>
        <w:tblPrEx>
          <w:tblCellMar>
            <w:top w:w="0" w:type="dxa"/>
            <w:left w:w="99" w:type="dxa"/>
            <w:bottom w:w="0" w:type="dxa"/>
            <w:right w:w="99" w:type="dxa"/>
          </w:tblCellMar>
        </w:tblPrEx>
        <w:trPr>
          <w:trHeight w:val="585" w:hRule="atLeast"/>
          <w:jc w:val="center"/>
        </w:trPr>
        <w:tc>
          <w:tcPr>
            <w:tcW w:w="2977" w:type="dxa"/>
            <w:gridSpan w:val="2"/>
            <w:tcBorders>
              <w:top w:val="single" w:color="auto" w:sz="8" w:space="0"/>
              <w:left w:val="single" w:color="auto" w:sz="8" w:space="0"/>
              <w:bottom w:val="single" w:color="auto" w:sz="8" w:space="0"/>
              <w:right w:val="single" w:color="auto" w:sz="4" w:space="0"/>
            </w:tcBorders>
            <w:shd w:val="clear" w:color="auto" w:fill="auto"/>
            <w:noWrap w:val="0"/>
            <w:vAlign w:val="center"/>
          </w:tcPr>
          <w:p>
            <w:pPr>
              <w:jc w:val="center"/>
              <w:rPr>
                <w:color w:val="000000"/>
                <w:sz w:val="18"/>
                <w:szCs w:val="18"/>
                <w:lang w:val="en-US" w:eastAsia="ko-KR"/>
              </w:rPr>
            </w:pPr>
          </w:p>
        </w:tc>
        <w:tc>
          <w:tcPr>
            <w:tcW w:w="1827" w:type="dxa"/>
            <w:tcBorders>
              <w:top w:val="single" w:color="auto" w:sz="8" w:space="0"/>
              <w:left w:val="single" w:color="auto" w:sz="8" w:space="0"/>
              <w:bottom w:val="single" w:color="auto" w:sz="8"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UE0 (cell 0)</w:t>
            </w:r>
          </w:p>
          <w:p>
            <w:pPr>
              <w:jc w:val="center"/>
              <w:rPr>
                <w:b/>
                <w:bCs/>
                <w:color w:val="000000"/>
                <w:sz w:val="18"/>
                <w:szCs w:val="18"/>
                <w:lang w:val="en-US" w:eastAsia="ko-KR"/>
              </w:rPr>
            </w:pPr>
            <w:r>
              <w:rPr>
                <w:b/>
                <w:bCs/>
                <w:color w:val="000000"/>
                <w:sz w:val="18"/>
                <w:szCs w:val="18"/>
                <w:lang w:val="en-US" w:eastAsia="ko-KR"/>
              </w:rPr>
              <w:t>[victim UE]</w:t>
            </w:r>
          </w:p>
        </w:tc>
        <w:tc>
          <w:tcPr>
            <w:tcW w:w="2518" w:type="dxa"/>
            <w:tcBorders>
              <w:top w:val="single" w:color="auto" w:sz="8" w:space="0"/>
              <w:left w:val="nil"/>
              <w:bottom w:val="single" w:color="auto" w:sz="8"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UE1 (cell 1)</w:t>
            </w:r>
          </w:p>
          <w:p>
            <w:pPr>
              <w:jc w:val="center"/>
              <w:rPr>
                <w:b/>
                <w:bCs/>
                <w:color w:val="000000"/>
                <w:sz w:val="18"/>
                <w:szCs w:val="18"/>
                <w:lang w:val="en-US" w:eastAsia="ko-KR"/>
              </w:rPr>
            </w:pPr>
            <w:r>
              <w:rPr>
                <w:b/>
                <w:bCs/>
                <w:color w:val="000000"/>
                <w:sz w:val="18"/>
                <w:szCs w:val="18"/>
                <w:lang w:val="en-US" w:eastAsia="ko-KR"/>
              </w:rPr>
              <w:t>[aggressor UE]</w:t>
            </w:r>
          </w:p>
        </w:tc>
        <w:tc>
          <w:tcPr>
            <w:tcW w:w="3011" w:type="dxa"/>
            <w:tcBorders>
              <w:top w:val="single" w:color="auto" w:sz="8" w:space="0"/>
              <w:left w:val="nil"/>
              <w:bottom w:val="single" w:color="auto" w:sz="8"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UE2 (cell 1)</w:t>
            </w:r>
          </w:p>
          <w:p>
            <w:pPr>
              <w:jc w:val="center"/>
              <w:rPr>
                <w:b/>
                <w:bCs/>
                <w:color w:val="000000"/>
                <w:sz w:val="18"/>
                <w:szCs w:val="18"/>
                <w:lang w:val="en-US" w:eastAsia="ko-KR"/>
              </w:rPr>
            </w:pPr>
            <w:r>
              <w:rPr>
                <w:b/>
                <w:bCs/>
                <w:color w:val="000000"/>
                <w:sz w:val="18"/>
                <w:szCs w:val="18"/>
                <w:lang w:val="en-US" w:eastAsia="ko-KR"/>
              </w:rPr>
              <w:t>[aggressor UE]</w:t>
            </w:r>
          </w:p>
        </w:tc>
      </w:tr>
      <w:tr>
        <w:tblPrEx>
          <w:tblCellMar>
            <w:top w:w="0" w:type="dxa"/>
            <w:left w:w="99" w:type="dxa"/>
            <w:bottom w:w="0" w:type="dxa"/>
            <w:right w:w="99" w:type="dxa"/>
          </w:tblCellMar>
        </w:tblPrEx>
        <w:trPr>
          <w:trHeight w:val="330" w:hRule="atLeast"/>
          <w:jc w:val="center"/>
        </w:trPr>
        <w:tc>
          <w:tcPr>
            <w:tcW w:w="2977" w:type="dxa"/>
            <w:gridSpan w:val="2"/>
            <w:tcBorders>
              <w:top w:val="nil"/>
              <w:left w:val="single" w:color="auto" w:sz="8" w:space="0"/>
              <w:bottom w:val="single" w:color="auto"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eastAsia="ko-KR"/>
              </w:rPr>
              <w:t>Carrier frequency</w:t>
            </w:r>
          </w:p>
        </w:tc>
        <w:tc>
          <w:tcPr>
            <w:tcW w:w="7356" w:type="dxa"/>
            <w:gridSpan w:val="3"/>
            <w:tcBorders>
              <w:top w:val="nil"/>
              <w:left w:val="single" w:color="auto" w:sz="8" w:space="0"/>
              <w:bottom w:val="single" w:color="auto" w:sz="4" w:space="0"/>
              <w:right w:val="single" w:color="000000" w:sz="8" w:space="0"/>
            </w:tcBorders>
            <w:shd w:val="clear" w:color="auto" w:fill="auto"/>
            <w:noWrap w:val="0"/>
            <w:vAlign w:val="center"/>
          </w:tcPr>
          <w:p>
            <w:pPr>
              <w:jc w:val="center"/>
              <w:rPr>
                <w:color w:val="000000"/>
                <w:sz w:val="18"/>
                <w:szCs w:val="18"/>
                <w:lang w:val="en-US" w:eastAsia="ko-KR"/>
              </w:rPr>
            </w:pPr>
            <w:r>
              <w:rPr>
                <w:color w:val="000000"/>
                <w:sz w:val="18"/>
                <w:szCs w:val="18"/>
                <w:lang w:eastAsia="ko-KR"/>
              </w:rPr>
              <w:t>4GHz for FR1,</w:t>
            </w:r>
            <w:r>
              <w:rPr>
                <w:color w:val="000000"/>
                <w:sz w:val="18"/>
                <w:szCs w:val="18"/>
                <w:lang w:eastAsia="ko-KR"/>
              </w:rPr>
              <w:br w:type="textWrapping"/>
            </w:r>
            <w:r>
              <w:rPr>
                <w:color w:val="000000"/>
                <w:sz w:val="18"/>
                <w:szCs w:val="18"/>
                <w:lang w:eastAsia="ko-KR"/>
              </w:rPr>
              <w:t>30GHz for FR2</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nil"/>
            </w:tcBorders>
            <w:shd w:val="clear" w:color="auto" w:fill="auto"/>
            <w:noWrap w:val="0"/>
            <w:vAlign w:val="center"/>
          </w:tcPr>
          <w:p>
            <w:pPr>
              <w:jc w:val="center"/>
              <w:rPr>
                <w:color w:val="000000"/>
                <w:sz w:val="18"/>
                <w:szCs w:val="18"/>
                <w:lang w:val="en-US" w:eastAsia="ko-KR"/>
              </w:rPr>
            </w:pPr>
            <w:r>
              <w:rPr>
                <w:color w:val="000000"/>
                <w:sz w:val="18"/>
                <w:szCs w:val="18"/>
                <w:lang w:eastAsia="ko-KR"/>
              </w:rPr>
              <w:t>Subcarrier spacing</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15kHz, 30kHz,60kHz for FR1</w:t>
            </w:r>
            <w:r>
              <w:rPr>
                <w:color w:val="000000"/>
                <w:sz w:val="18"/>
                <w:szCs w:val="18"/>
                <w:lang w:val="en-US" w:eastAsia="ko-KR"/>
              </w:rPr>
              <w:br w:type="textWrapping"/>
            </w:r>
            <w:r>
              <w:rPr>
                <w:color w:val="000000"/>
                <w:sz w:val="18"/>
                <w:szCs w:val="18"/>
                <w:lang w:val="en-US" w:eastAsia="ko-KR"/>
              </w:rPr>
              <w:t>60kHz, 120kHz for FR2</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same as UE0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same as UE0</w:t>
            </w:r>
          </w:p>
        </w:tc>
      </w:tr>
      <w:tr>
        <w:tblPrEx>
          <w:tblCellMar>
            <w:top w:w="0" w:type="dxa"/>
            <w:left w:w="99" w:type="dxa"/>
            <w:bottom w:w="0" w:type="dxa"/>
            <w:right w:w="99" w:type="dxa"/>
          </w:tblCellMar>
        </w:tblPrEx>
        <w:trPr>
          <w:trHeight w:val="330" w:hRule="atLeast"/>
          <w:jc w:val="center"/>
        </w:trPr>
        <w:tc>
          <w:tcPr>
            <w:tcW w:w="1238" w:type="dxa"/>
            <w:vMerge w:val="restart"/>
            <w:tcBorders>
              <w:top w:val="nil"/>
              <w:left w:val="single" w:color="auto" w:sz="8" w:space="0"/>
              <w:bottom w:val="single" w:color="000000"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SRS configuration</w:t>
            </w:r>
          </w:p>
        </w:tc>
        <w:tc>
          <w:tcPr>
            <w:tcW w:w="1739" w:type="dxa"/>
            <w:tcBorders>
              <w:top w:val="nil"/>
              <w:left w:val="nil"/>
              <w:bottom w:val="single" w:color="auto" w:sz="4" w:space="0"/>
              <w:right w:val="nil"/>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Number of port</w:t>
            </w:r>
          </w:p>
        </w:tc>
        <w:tc>
          <w:tcPr>
            <w:tcW w:w="1827" w:type="dxa"/>
            <w:vMerge w:val="restart"/>
            <w:tcBorders>
              <w:top w:val="nil"/>
              <w:left w:val="single" w:color="auto" w:sz="8" w:space="0"/>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N/A</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eastAsia="ko-KR"/>
              </w:rPr>
              <w:t>1</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1</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TransmissionComb</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eastAsia="ko-KR"/>
              </w:rPr>
              <w:t>2</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2</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rFonts w:hint="eastAsia"/>
                <w:color w:val="000000"/>
                <w:sz w:val="18"/>
                <w:szCs w:val="18"/>
                <w:lang w:val="en-US" w:eastAsia="ko-KR"/>
              </w:rPr>
            </w:pPr>
            <w:r>
              <w:rPr>
                <w:rFonts w:hint="eastAsia"/>
                <w:color w:val="000000"/>
                <w:sz w:val="18"/>
                <w:szCs w:val="18"/>
                <w:lang w:val="en-US" w:eastAsia="ko-KR"/>
              </w:rPr>
              <w:t>com</w:t>
            </w:r>
            <w:r>
              <w:rPr>
                <w:color w:val="000000"/>
                <w:sz w:val="18"/>
                <w:szCs w:val="18"/>
                <w:lang w:val="en-US" w:eastAsia="ko-KR"/>
              </w:rPr>
              <w:t>bOffset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eastAsia="ko-KR"/>
              </w:rPr>
            </w:pPr>
            <w:r>
              <w:rPr>
                <w:rFonts w:hint="eastAsia"/>
                <w:sz w:val="18"/>
                <w:szCs w:val="18"/>
                <w:lang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rFonts w:hint="eastAsia"/>
                <w:color w:val="000000"/>
                <w:sz w:val="18"/>
                <w:szCs w:val="18"/>
                <w:lang w:val="en-US" w:eastAsia="ko-KR"/>
              </w:rPr>
              <w:t>0</w:t>
            </w:r>
          </w:p>
        </w:tc>
      </w:tr>
      <w:tr>
        <w:tblPrEx>
          <w:tblCellMar>
            <w:top w:w="0" w:type="dxa"/>
            <w:left w:w="99" w:type="dxa"/>
            <w:bottom w:w="0" w:type="dxa"/>
            <w:right w:w="99" w:type="dxa"/>
          </w:tblCellMar>
        </w:tblPrEx>
        <w:trPr>
          <w:trHeight w:val="51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Cyclic shift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sz w:val="18"/>
                <w:szCs w:val="18"/>
                <w:lang w:val="en-US" w:eastAsia="ko-KR"/>
              </w:rPr>
            </w:pPr>
            <w:r>
              <w:rPr>
                <w:sz w:val="18"/>
                <w:szCs w:val="18"/>
                <w:lang w:val="en-US" w:eastAsia="ko-KR"/>
              </w:rPr>
              <w:t>0</w:t>
            </w:r>
          </w:p>
        </w:tc>
      </w:tr>
      <w:tr>
        <w:tblPrEx>
          <w:tblCellMar>
            <w:top w:w="0" w:type="dxa"/>
            <w:left w:w="99" w:type="dxa"/>
            <w:bottom w:w="0" w:type="dxa"/>
            <w:right w:w="99" w:type="dxa"/>
          </w:tblCellMar>
        </w:tblPrEx>
        <w:trPr>
          <w:trHeight w:val="51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StartPosition (SRS symbol start position)</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0</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Number of symbol</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1</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1</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Number of RB</w:t>
            </w:r>
            <w:r>
              <w:rPr>
                <w:color w:val="000000"/>
                <w:sz w:val="18"/>
                <w:szCs w:val="18"/>
                <w:vertAlign w:val="superscript"/>
                <w:lang w:val="en-US" w:eastAsia="ko-KR"/>
              </w:rPr>
              <w:t xml:space="preserve"> Note1</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24 or 48</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same as UE1</w:t>
            </w:r>
          </w:p>
        </w:tc>
      </w:tr>
      <w:tr>
        <w:tblPrEx>
          <w:tblCellMar>
            <w:top w:w="0" w:type="dxa"/>
            <w:left w:w="99" w:type="dxa"/>
            <w:bottom w:w="0" w:type="dxa"/>
            <w:right w:w="99" w:type="dxa"/>
          </w:tblCellMar>
        </w:tblPrEx>
        <w:trPr>
          <w:trHeight w:val="51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Frequency domain position and shift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0</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Periodicity [slot]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5</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same as UE1</w:t>
            </w:r>
          </w:p>
        </w:tc>
      </w:tr>
      <w:tr>
        <w:tblPrEx>
          <w:tblCellMar>
            <w:top w:w="0" w:type="dxa"/>
            <w:left w:w="99" w:type="dxa"/>
            <w:bottom w:w="0" w:type="dxa"/>
            <w:right w:w="99" w:type="dxa"/>
          </w:tblCellMar>
        </w:tblPrEx>
        <w:trPr>
          <w:trHeight w:val="1125"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Timing error</w:t>
            </w:r>
            <w:r>
              <w:rPr>
                <w:color w:val="000000"/>
                <w:sz w:val="18"/>
                <w:szCs w:val="18"/>
                <w:highlight w:val="none"/>
                <w:vertAlign w:val="superscript"/>
                <w:lang w:val="en-US" w:eastAsia="ko-KR"/>
              </w:rPr>
              <w:t>Note2</w:t>
            </w:r>
            <w:r>
              <w:rPr>
                <w:color w:val="000000"/>
                <w:sz w:val="18"/>
                <w:szCs w:val="18"/>
                <w:lang w:val="en-US" w:eastAsia="ko-KR"/>
              </w:rPr>
              <w:t xml:space="preserve"> for UE 1 and UE2</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rFonts w:hint="eastAsia" w:eastAsia="宋体"/>
                <w:sz w:val="18"/>
                <w:szCs w:val="18"/>
                <w:lang w:val="en-US" w:eastAsia="zh-CN"/>
              </w:rPr>
            </w:pPr>
            <w:r>
              <w:rPr>
                <w:rFonts w:hint="eastAsia" w:eastAsia="宋体"/>
                <w:sz w:val="18"/>
                <w:szCs w:val="18"/>
                <w:lang w:val="en-US" w:eastAsia="zh-CN"/>
              </w:rPr>
              <w:t xml:space="preserve">[4.67 </w:t>
            </w:r>
            <w:r>
              <w:rPr>
                <w:sz w:val="18"/>
                <w:szCs w:val="18"/>
                <w:lang w:val="en-US" w:eastAsia="ko-KR"/>
              </w:rPr>
              <w:t>usec for FR1,</w:t>
            </w:r>
            <w:r>
              <w:rPr>
                <w:sz w:val="18"/>
                <w:szCs w:val="18"/>
                <w:lang w:val="en-US" w:eastAsia="ko-KR"/>
              </w:rPr>
              <w:br w:type="textWrapping"/>
            </w:r>
            <w:r>
              <w:rPr>
                <w:rFonts w:hint="eastAsia" w:eastAsia="宋体"/>
                <w:sz w:val="18"/>
                <w:szCs w:val="18"/>
                <w:lang w:val="en-US" w:eastAsia="zh-CN"/>
              </w:rPr>
              <w:t xml:space="preserve">3.67 </w:t>
            </w:r>
            <w:r>
              <w:rPr>
                <w:sz w:val="18"/>
                <w:szCs w:val="18"/>
                <w:lang w:val="en-US" w:eastAsia="ko-KR"/>
              </w:rPr>
              <w:t>usec for FR2</w:t>
            </w:r>
            <w:r>
              <w:rPr>
                <w:rFonts w:hint="eastAsia" w:eastAsia="宋体"/>
                <w:sz w:val="18"/>
                <w:szCs w:val="18"/>
                <w:lang w:val="en-US" w:eastAsia="zh-CN"/>
              </w:rPr>
              <w:t>]</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rFonts w:hint="eastAsia"/>
                <w:sz w:val="18"/>
                <w:szCs w:val="18"/>
                <w:lang w:val="en-US" w:eastAsia="ko-KR"/>
              </w:rPr>
              <w:t>-</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w:t>
            </w:r>
          </w:p>
        </w:tc>
      </w:tr>
      <w:tr>
        <w:tblPrEx>
          <w:tblCellMar>
            <w:top w:w="0" w:type="dxa"/>
            <w:left w:w="99" w:type="dxa"/>
            <w:bottom w:w="0" w:type="dxa"/>
            <w:right w:w="99" w:type="dxa"/>
          </w:tblCellMar>
        </w:tblPrEx>
        <w:trPr>
          <w:trHeight w:val="33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eastAsia="ko-KR"/>
              </w:rPr>
              <w:t>CP Length</w:t>
            </w:r>
          </w:p>
        </w:tc>
        <w:tc>
          <w:tcPr>
            <w:tcW w:w="7356" w:type="dxa"/>
            <w:gridSpan w:val="3"/>
            <w:tcBorders>
              <w:top w:val="single" w:color="auto" w:sz="4" w:space="0"/>
              <w:left w:val="single" w:color="auto" w:sz="8" w:space="0"/>
              <w:bottom w:val="single" w:color="auto" w:sz="4" w:space="0"/>
              <w:right w:val="single" w:color="000000" w:sz="8" w:space="0"/>
            </w:tcBorders>
            <w:shd w:val="clear" w:color="auto" w:fill="auto"/>
            <w:noWrap w:val="0"/>
            <w:vAlign w:val="center"/>
          </w:tcPr>
          <w:p>
            <w:pPr>
              <w:jc w:val="center"/>
              <w:rPr>
                <w:sz w:val="18"/>
                <w:szCs w:val="18"/>
                <w:lang w:val="en-US" w:eastAsia="ko-KR"/>
              </w:rPr>
            </w:pPr>
            <w:r>
              <w:rPr>
                <w:sz w:val="18"/>
                <w:szCs w:val="18"/>
                <w:lang w:eastAsia="ko-KR"/>
              </w:rPr>
              <w:t>Normal</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eastAsia="ko-KR"/>
              </w:rPr>
              <w:t>Number of measurement samples</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rFonts w:hint="eastAsia" w:eastAsia="宋体"/>
                <w:sz w:val="18"/>
                <w:szCs w:val="18"/>
                <w:lang w:val="en-US" w:eastAsia="zh-CN"/>
              </w:rPr>
            </w:pPr>
            <w:r>
              <w:rPr>
                <w:rFonts w:hint="eastAsia" w:eastAsia="宋体"/>
                <w:sz w:val="18"/>
                <w:szCs w:val="18"/>
                <w:lang w:val="en-US" w:eastAsia="zh-CN"/>
              </w:rPr>
              <w:t>[1 or 2</w:t>
            </w:r>
            <w:r>
              <w:rPr>
                <w:sz w:val="18"/>
                <w:szCs w:val="18"/>
                <w:lang w:eastAsia="ko-KR"/>
              </w:rPr>
              <w:t xml:space="preserve"> or </w:t>
            </w:r>
            <w:r>
              <w:rPr>
                <w:rFonts w:hint="eastAsia" w:eastAsia="宋体"/>
                <w:sz w:val="18"/>
                <w:szCs w:val="18"/>
                <w:lang w:val="en-US" w:eastAsia="zh-CN"/>
              </w:rPr>
              <w:t>3]</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N/A</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N/A</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color w:val="000000"/>
                <w:sz w:val="18"/>
                <w:szCs w:val="18"/>
                <w:lang w:eastAsia="ko-KR"/>
              </w:rPr>
            </w:pPr>
            <w:r>
              <w:rPr>
                <w:color w:val="000000"/>
                <w:sz w:val="18"/>
                <w:szCs w:val="18"/>
                <w:lang w:eastAsia="ko-KR"/>
              </w:rPr>
              <w:t>M</w:t>
            </w:r>
            <w:r>
              <w:rPr>
                <w:rFonts w:hint="eastAsia"/>
                <w:color w:val="000000"/>
                <w:sz w:val="18"/>
                <w:szCs w:val="18"/>
                <w:lang w:eastAsia="ko-KR"/>
              </w:rPr>
              <w:t xml:space="preserve">easurement </w:t>
            </w:r>
            <w:r>
              <w:rPr>
                <w:color w:val="000000"/>
                <w:sz w:val="18"/>
                <w:szCs w:val="18"/>
                <w:lang w:eastAsia="ko-KR"/>
              </w:rPr>
              <w:t>bandwidth [RB]</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sz w:val="18"/>
                <w:szCs w:val="18"/>
                <w:lang w:eastAsia="ko-KR"/>
              </w:rPr>
            </w:pPr>
            <w:r>
              <w:rPr>
                <w:sz w:val="18"/>
                <w:szCs w:val="18"/>
                <w:lang w:eastAsia="ko-KR"/>
              </w:rPr>
              <w:t>S</w:t>
            </w:r>
            <w:r>
              <w:rPr>
                <w:rFonts w:hint="eastAsia"/>
                <w:sz w:val="18"/>
                <w:szCs w:val="18"/>
                <w:lang w:eastAsia="ko-KR"/>
              </w:rPr>
              <w:t xml:space="preserve">ame </w:t>
            </w:r>
            <w:r>
              <w:rPr>
                <w:sz w:val="18"/>
                <w:szCs w:val="18"/>
                <w:lang w:eastAsia="ko-KR"/>
              </w:rPr>
              <w:t>as SRS transmission RB</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p>
        </w:tc>
      </w:tr>
      <w:tr>
        <w:tblPrEx>
          <w:tblCellMar>
            <w:top w:w="0" w:type="dxa"/>
            <w:left w:w="99" w:type="dxa"/>
            <w:bottom w:w="0" w:type="dxa"/>
            <w:right w:w="99" w:type="dxa"/>
          </w:tblCellMar>
        </w:tblPrEx>
        <w:trPr>
          <w:trHeight w:val="33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Measurement period [slot]</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5</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N/A</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N/A</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eastAsia="ko-KR"/>
              </w:rPr>
              <w:t>Number of UE receive antennas</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2 Rx</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N/A</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N/A</w:t>
            </w:r>
          </w:p>
        </w:tc>
      </w:tr>
      <w:tr>
        <w:tblPrEx>
          <w:tblCellMar>
            <w:top w:w="0" w:type="dxa"/>
            <w:left w:w="99" w:type="dxa"/>
            <w:bottom w:w="0" w:type="dxa"/>
            <w:right w:w="99" w:type="dxa"/>
          </w:tblCellMar>
        </w:tblPrEx>
        <w:trPr>
          <w:trHeight w:val="510" w:hRule="atLeast"/>
          <w:jc w:val="center"/>
        </w:trPr>
        <w:tc>
          <w:tcPr>
            <w:tcW w:w="2977" w:type="dxa"/>
            <w:gridSpan w:val="2"/>
            <w:vMerge w:val="restart"/>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eastAsia="ko-KR"/>
              </w:rPr>
              <w:t>Propagation conditions</w:t>
            </w:r>
          </w:p>
        </w:tc>
        <w:tc>
          <w:tcPr>
            <w:tcW w:w="7356" w:type="dxa"/>
            <w:gridSpan w:val="3"/>
            <w:vMerge w:val="restart"/>
            <w:tcBorders>
              <w:top w:val="single" w:color="auto" w:sz="4" w:space="0"/>
              <w:left w:val="single" w:color="auto" w:sz="8" w:space="0"/>
              <w:bottom w:val="single" w:color="auto" w:sz="4" w:space="0"/>
              <w:right w:val="single" w:color="000000" w:sz="8" w:space="0"/>
            </w:tcBorders>
            <w:shd w:val="clear" w:color="auto" w:fill="auto"/>
            <w:noWrap w:val="0"/>
            <w:vAlign w:val="center"/>
          </w:tcPr>
          <w:p>
            <w:pPr>
              <w:jc w:val="center"/>
              <w:rPr>
                <w:sz w:val="18"/>
                <w:szCs w:val="18"/>
                <w:lang w:val="en-US" w:eastAsia="ko-KR"/>
              </w:rPr>
            </w:pPr>
            <w:r>
              <w:rPr>
                <w:sz w:val="18"/>
                <w:szCs w:val="18"/>
                <w:lang w:val="es-ES" w:eastAsia="ko-KR"/>
              </w:rPr>
              <w:t>AWGN, TDL-A10, TDL-C100 for FR1,</w:t>
            </w:r>
            <w:r>
              <w:rPr>
                <w:sz w:val="18"/>
                <w:szCs w:val="18"/>
                <w:lang w:val="es-ES" w:eastAsia="ko-KR"/>
              </w:rPr>
              <w:br w:type="textWrapping"/>
            </w:r>
            <w:r>
              <w:rPr>
                <w:sz w:val="18"/>
                <w:szCs w:val="18"/>
                <w:lang w:val="es-ES" w:eastAsia="ko-KR"/>
              </w:rPr>
              <w:t>AWGN, TDL-A75, TDL-C300 for FR2</w:t>
            </w:r>
          </w:p>
        </w:tc>
      </w:tr>
      <w:tr>
        <w:tblPrEx>
          <w:tblCellMar>
            <w:top w:w="0" w:type="dxa"/>
            <w:left w:w="99" w:type="dxa"/>
            <w:bottom w:w="0" w:type="dxa"/>
            <w:right w:w="99" w:type="dxa"/>
          </w:tblCellMar>
        </w:tblPrEx>
        <w:trPr>
          <w:trHeight w:val="330" w:hRule="atLeast"/>
          <w:jc w:val="center"/>
        </w:trPr>
        <w:tc>
          <w:tcPr>
            <w:tcW w:w="2977" w:type="dxa"/>
            <w:gridSpan w:val="2"/>
            <w:vMerge w:val="continue"/>
            <w:tcBorders>
              <w:top w:val="single" w:color="auto" w:sz="8" w:space="0"/>
              <w:left w:val="single" w:color="auto" w:sz="8" w:space="0"/>
              <w:bottom w:val="single" w:color="auto" w:sz="4" w:space="0"/>
              <w:right w:val="single" w:color="auto" w:sz="4" w:space="0"/>
            </w:tcBorders>
            <w:noWrap w:val="0"/>
            <w:vAlign w:val="center"/>
          </w:tcPr>
          <w:p>
            <w:pPr>
              <w:rPr>
                <w:color w:val="000000"/>
                <w:sz w:val="18"/>
                <w:szCs w:val="18"/>
                <w:lang w:val="en-US" w:eastAsia="ko-KR"/>
              </w:rPr>
            </w:pPr>
          </w:p>
        </w:tc>
        <w:tc>
          <w:tcPr>
            <w:tcW w:w="7356" w:type="dxa"/>
            <w:gridSpan w:val="3"/>
            <w:vMerge w:val="continue"/>
            <w:tcBorders>
              <w:top w:val="single" w:color="auto" w:sz="8" w:space="0"/>
              <w:left w:val="single" w:color="auto" w:sz="8" w:space="0"/>
              <w:bottom w:val="single" w:color="auto" w:sz="4" w:space="0"/>
              <w:right w:val="single" w:color="000000" w:sz="8" w:space="0"/>
            </w:tcBorders>
            <w:noWrap w:val="0"/>
            <w:vAlign w:val="center"/>
          </w:tcPr>
          <w:p>
            <w:pPr>
              <w:rPr>
                <w:sz w:val="18"/>
                <w:szCs w:val="18"/>
                <w:lang w:val="en-US" w:eastAsia="ko-KR"/>
              </w:rPr>
            </w:pPr>
          </w:p>
        </w:tc>
      </w:tr>
      <w:tr>
        <w:tblPrEx>
          <w:tblCellMar>
            <w:top w:w="0" w:type="dxa"/>
            <w:left w:w="99" w:type="dxa"/>
            <w:bottom w:w="0" w:type="dxa"/>
            <w:right w:w="99" w:type="dxa"/>
          </w:tblCellMar>
        </w:tblPrEx>
        <w:trPr>
          <w:trHeight w:val="345"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color w:val="000000"/>
                <w:sz w:val="18"/>
                <w:szCs w:val="18"/>
                <w:lang w:val="en-US" w:eastAsia="ko-KR"/>
              </w:rPr>
            </w:pPr>
            <w:r>
              <w:rPr>
                <w:color w:val="000000"/>
                <w:sz w:val="18"/>
                <w:szCs w:val="18"/>
                <w:lang w:eastAsia="ko-KR"/>
              </w:rPr>
              <w:t>SINR</w:t>
            </w:r>
          </w:p>
        </w:tc>
        <w:tc>
          <w:tcPr>
            <w:tcW w:w="1827" w:type="dxa"/>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eastAsia="ko-KR"/>
              </w:rPr>
              <w:t>-3dB or -1dB</w:t>
            </w:r>
          </w:p>
        </w:tc>
        <w:tc>
          <w:tcPr>
            <w:tcW w:w="2518" w:type="dxa"/>
            <w:tcBorders>
              <w:top w:val="single" w:color="auto" w:sz="4" w:space="0"/>
              <w:left w:val="nil"/>
              <w:bottom w:val="single" w:color="auto" w:sz="4" w:space="0"/>
              <w:right w:val="single" w:color="auto" w:sz="4" w:space="0"/>
            </w:tcBorders>
            <w:shd w:val="clear" w:color="auto" w:fill="auto"/>
            <w:noWrap w:val="0"/>
            <w:vAlign w:val="center"/>
          </w:tcPr>
          <w:p>
            <w:pPr>
              <w:jc w:val="center"/>
              <w:rPr>
                <w:sz w:val="18"/>
                <w:szCs w:val="18"/>
                <w:lang w:val="en-US" w:eastAsia="ko-KR"/>
              </w:rPr>
            </w:pPr>
            <w:r>
              <w:rPr>
                <w:sz w:val="18"/>
                <w:szCs w:val="18"/>
                <w:lang w:val="en-US" w:eastAsia="ko-KR"/>
              </w:rPr>
              <w:t>N/A</w:t>
            </w:r>
          </w:p>
        </w:tc>
        <w:tc>
          <w:tcPr>
            <w:tcW w:w="3011" w:type="dxa"/>
            <w:tcBorders>
              <w:top w:val="single" w:color="auto" w:sz="4" w:space="0"/>
              <w:left w:val="nil"/>
              <w:bottom w:val="single" w:color="auto" w:sz="4" w:space="0"/>
              <w:right w:val="single" w:color="auto" w:sz="8" w:space="0"/>
            </w:tcBorders>
            <w:shd w:val="clear" w:color="auto" w:fill="auto"/>
            <w:noWrap w:val="0"/>
            <w:vAlign w:val="center"/>
          </w:tcPr>
          <w:p>
            <w:pPr>
              <w:jc w:val="center"/>
              <w:rPr>
                <w:color w:val="000000"/>
                <w:sz w:val="18"/>
                <w:szCs w:val="18"/>
                <w:lang w:val="en-US" w:eastAsia="ko-KR"/>
              </w:rPr>
            </w:pPr>
            <w:r>
              <w:rPr>
                <w:color w:val="000000"/>
                <w:sz w:val="18"/>
                <w:szCs w:val="18"/>
                <w:lang w:val="en-US" w:eastAsia="ko-KR"/>
              </w:rPr>
              <w:t>N/A</w:t>
            </w:r>
          </w:p>
        </w:tc>
      </w:tr>
      <w:tr>
        <w:tblPrEx>
          <w:tblCellMar>
            <w:top w:w="0" w:type="dxa"/>
            <w:left w:w="99" w:type="dxa"/>
            <w:bottom w:w="0" w:type="dxa"/>
            <w:right w:w="99" w:type="dxa"/>
          </w:tblCellMar>
        </w:tblPrEx>
        <w:trPr>
          <w:trHeight w:val="345" w:hRule="atLeast"/>
          <w:jc w:val="center"/>
        </w:trPr>
        <w:tc>
          <w:tcPr>
            <w:tcW w:w="10333" w:type="dxa"/>
            <w:gridSpan w:val="5"/>
            <w:tcBorders>
              <w:top w:val="single" w:color="auto" w:sz="4" w:space="0"/>
              <w:left w:val="single" w:color="auto" w:sz="8" w:space="0"/>
              <w:bottom w:val="single" w:color="auto" w:sz="8" w:space="0"/>
              <w:right w:val="single" w:color="auto" w:sz="8" w:space="0"/>
            </w:tcBorders>
            <w:shd w:val="clear" w:color="auto" w:fill="auto"/>
            <w:noWrap w:val="0"/>
            <w:vAlign w:val="center"/>
          </w:tcPr>
          <w:p>
            <w:pPr>
              <w:jc w:val="both"/>
              <w:rPr>
                <w:lang w:eastAsia="ko-KR"/>
              </w:rPr>
            </w:pPr>
            <w:r>
              <w:rPr>
                <w:rFonts w:hint="eastAsia"/>
                <w:lang w:eastAsia="ko-KR"/>
              </w:rPr>
              <w:t xml:space="preserve">Note 1: </w:t>
            </w:r>
            <w:r>
              <w:rPr>
                <w:lang w:eastAsia="ko-KR"/>
              </w:rPr>
              <w:t>Allocated RBs are within active BWP for measurement UE.</w:t>
            </w:r>
          </w:p>
          <w:p>
            <w:pPr>
              <w:jc w:val="both"/>
              <w:rPr>
                <w:rFonts w:hint="eastAsia"/>
                <w:lang w:eastAsia="ko-KR"/>
              </w:rPr>
            </w:pPr>
            <w:r>
              <w:rPr>
                <w:rFonts w:hint="eastAsia"/>
                <w:lang w:eastAsia="ko-KR"/>
              </w:rPr>
              <w:t xml:space="preserve">Note 2: </w:t>
            </w:r>
            <w:r>
              <w:rPr>
                <w:highlight w:val="none"/>
                <w:lang w:eastAsia="ko-KR"/>
              </w:rPr>
              <w:t xml:space="preserve">Timing error </w:t>
            </w:r>
            <w:r>
              <w:rPr>
                <w:lang w:eastAsia="ko-KR"/>
              </w:rPr>
              <w:t xml:space="preserve">is </w:t>
            </w:r>
            <w:r>
              <w:rPr>
                <w:rFonts w:hint="eastAsia"/>
                <w:lang w:eastAsia="ko-KR"/>
              </w:rPr>
              <w:t>Tc*N</w:t>
            </w:r>
            <w:r>
              <w:rPr>
                <w:rFonts w:hint="eastAsia"/>
                <w:sz w:val="13"/>
                <w:szCs w:val="13"/>
                <w:lang w:eastAsia="ko-KR"/>
              </w:rPr>
              <w:t>TA_offset</w:t>
            </w:r>
            <w:r>
              <w:rPr>
                <w:rFonts w:hint="eastAsia"/>
                <w:lang w:eastAsia="ko-KR"/>
              </w:rPr>
              <w:t xml:space="preserve"> + T</w:t>
            </w:r>
            <w:r>
              <w:rPr>
                <w:rFonts w:hint="eastAsia"/>
                <w:sz w:val="13"/>
                <w:szCs w:val="13"/>
                <w:lang w:eastAsia="ko-KR"/>
              </w:rPr>
              <w:t>other</w:t>
            </w:r>
            <w:r>
              <w:rPr>
                <w:lang w:eastAsia="ko-KR"/>
              </w:rPr>
              <w:t xml:space="preserve">. </w:t>
            </w:r>
            <w:r>
              <w:rPr>
                <w:rFonts w:hint="eastAsia"/>
                <w:lang w:eastAsia="ko-KR"/>
              </w:rPr>
              <w:t>T</w:t>
            </w:r>
            <w:r>
              <w:rPr>
                <w:rFonts w:hint="eastAsia"/>
                <w:sz w:val="13"/>
                <w:szCs w:val="13"/>
                <w:lang w:eastAsia="ko-KR"/>
              </w:rPr>
              <w:t>other</w:t>
            </w:r>
            <w:r>
              <w:rPr>
                <w:rFonts w:hint="eastAsia"/>
                <w:lang w:eastAsia="ko-KR"/>
              </w:rPr>
              <w:t xml:space="preserve"> = T</w:t>
            </w:r>
            <w:r>
              <w:rPr>
                <w:rFonts w:hint="eastAsia"/>
                <w:sz w:val="13"/>
                <w:szCs w:val="13"/>
                <w:lang w:eastAsia="ko-KR"/>
              </w:rPr>
              <w:t>propagation_delay</w:t>
            </w:r>
            <w:r>
              <w:rPr>
                <w:rFonts w:hint="eastAsia"/>
                <w:lang w:eastAsia="ko-KR"/>
              </w:rPr>
              <w:t xml:space="preserve"> + T</w:t>
            </w:r>
            <w:r>
              <w:rPr>
                <w:rFonts w:hint="eastAsia"/>
                <w:sz w:val="13"/>
                <w:szCs w:val="13"/>
                <w:lang w:eastAsia="ko-KR"/>
              </w:rPr>
              <w:t>cell_phase_synchronization</w:t>
            </w:r>
          </w:p>
          <w:p>
            <w:pPr>
              <w:jc w:val="both"/>
              <w:rPr>
                <w:lang w:eastAsia="ko-KR"/>
              </w:rPr>
            </w:pPr>
            <w:r>
              <w:rPr>
                <w:rFonts w:hint="eastAsia" w:eastAsia="宋体"/>
                <w:lang w:val="en-US" w:eastAsia="zh-CN"/>
              </w:rPr>
              <w:t xml:space="preserve">Where </w:t>
            </w:r>
            <w:r>
              <w:rPr>
                <w:rFonts w:hint="eastAsia"/>
                <w:lang w:eastAsia="ko-KR"/>
              </w:rPr>
              <w:t>T</w:t>
            </w:r>
            <w:r>
              <w:rPr>
                <w:rFonts w:hint="eastAsia"/>
                <w:sz w:val="13"/>
                <w:szCs w:val="13"/>
                <w:lang w:eastAsia="ko-KR"/>
              </w:rPr>
              <w:t>other</w:t>
            </w:r>
            <w:r>
              <w:rPr>
                <w:rFonts w:hint="eastAsia"/>
                <w:lang w:eastAsia="ko-KR"/>
              </w:rPr>
              <w:t xml:space="preserve"> = 4.67usec for FR1 and 3.67usec for FR2</w:t>
            </w:r>
            <w:r>
              <w:rPr>
                <w:rFonts w:hint="eastAsia" w:eastAsia="宋体"/>
                <w:lang w:val="en-US" w:eastAsia="zh-CN"/>
              </w:rPr>
              <w:t xml:space="preserve"> </w:t>
            </w:r>
            <w:r>
              <w:rPr>
                <w:rFonts w:hint="eastAsia"/>
                <w:lang w:eastAsia="ko-KR"/>
              </w:rPr>
              <w:t>under the assumption that ISD=500m for FR1 and ISD=200m for FR2</w:t>
            </w:r>
          </w:p>
          <w:p>
            <w:pPr>
              <w:rPr>
                <w:rFonts w:hint="eastAsia"/>
                <w:lang w:eastAsia="ko-KR"/>
              </w:rPr>
            </w:pPr>
            <w:r>
              <w:rPr>
                <w:lang w:eastAsia="ko-KR"/>
              </w:rPr>
              <w:t>Note 3: No frequency hopping is assumed.</w:t>
            </w:r>
          </w:p>
        </w:tc>
      </w:tr>
    </w:tbl>
    <w:p>
      <w:pPr>
        <w:pStyle w:val="9"/>
        <w:bidi w:val="0"/>
        <w:rPr>
          <w:rFonts w:hint="eastAsia"/>
          <w:b/>
          <w:bCs/>
          <w:lang w:val="en-US" w:eastAsia="zh-CN"/>
        </w:rPr>
      </w:pPr>
    </w:p>
    <w:p>
      <w:pPr>
        <w:pStyle w:val="9"/>
        <w:bidi w:val="0"/>
        <w:rPr>
          <w:rFonts w:hint="default"/>
          <w:b/>
          <w:bCs/>
          <w:lang w:val="en-US" w:eastAsia="zh-CN"/>
        </w:rPr>
      </w:pPr>
      <w:r>
        <w:rPr>
          <w:rFonts w:hint="eastAsia"/>
          <w:b/>
          <w:bCs/>
          <w:lang w:val="en-US" w:eastAsia="zh-CN"/>
        </w:rPr>
        <w:t>Proposal 3: Reuse the simulation assumption for SRS-RSRP in R16 CLI as much as possible, the following parameter setting are suggested:</w:t>
      </w:r>
    </w:p>
    <w:tbl>
      <w:tblPr>
        <w:tblStyle w:val="17"/>
        <w:tblW w:w="10333" w:type="dxa"/>
        <w:jc w:val="center"/>
        <w:tblLayout w:type="autofit"/>
        <w:tblCellMar>
          <w:top w:w="0" w:type="dxa"/>
          <w:left w:w="99" w:type="dxa"/>
          <w:bottom w:w="0" w:type="dxa"/>
          <w:right w:w="99" w:type="dxa"/>
        </w:tblCellMar>
      </w:tblPr>
      <w:tblGrid>
        <w:gridCol w:w="1348"/>
        <w:gridCol w:w="1879"/>
        <w:gridCol w:w="1793"/>
        <w:gridCol w:w="2426"/>
        <w:gridCol w:w="2887"/>
      </w:tblGrid>
      <w:tr>
        <w:tblPrEx>
          <w:tblCellMar>
            <w:top w:w="0" w:type="dxa"/>
            <w:left w:w="99" w:type="dxa"/>
            <w:bottom w:w="0" w:type="dxa"/>
            <w:right w:w="99" w:type="dxa"/>
          </w:tblCellMar>
        </w:tblPrEx>
        <w:trPr>
          <w:trHeight w:val="345" w:hRule="atLeast"/>
          <w:jc w:val="center"/>
        </w:trPr>
        <w:tc>
          <w:tcPr>
            <w:tcW w:w="2977" w:type="dxa"/>
            <w:gridSpan w:val="2"/>
            <w:tcBorders>
              <w:top w:val="single" w:color="auto" w:sz="8" w:space="0"/>
              <w:left w:val="single" w:color="auto" w:sz="8" w:space="0"/>
              <w:bottom w:val="single" w:color="auto" w:sz="8" w:space="0"/>
              <w:right w:val="single" w:color="000000"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Parameters</w:t>
            </w:r>
          </w:p>
        </w:tc>
        <w:tc>
          <w:tcPr>
            <w:tcW w:w="7356" w:type="dxa"/>
            <w:gridSpan w:val="3"/>
            <w:tcBorders>
              <w:top w:val="single" w:color="auto" w:sz="8" w:space="0"/>
              <w:left w:val="nil"/>
              <w:bottom w:val="nil"/>
              <w:right w:val="single" w:color="000000"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 xml:space="preserve">Value </w:t>
            </w:r>
          </w:p>
        </w:tc>
      </w:tr>
      <w:tr>
        <w:tblPrEx>
          <w:tblCellMar>
            <w:top w:w="0" w:type="dxa"/>
            <w:left w:w="99" w:type="dxa"/>
            <w:bottom w:w="0" w:type="dxa"/>
            <w:right w:w="99" w:type="dxa"/>
          </w:tblCellMar>
        </w:tblPrEx>
        <w:trPr>
          <w:trHeight w:val="585" w:hRule="atLeast"/>
          <w:jc w:val="center"/>
        </w:trPr>
        <w:tc>
          <w:tcPr>
            <w:tcW w:w="2977" w:type="dxa"/>
            <w:gridSpan w:val="2"/>
            <w:tcBorders>
              <w:top w:val="single" w:color="auto" w:sz="8" w:space="0"/>
              <w:left w:val="single" w:color="auto" w:sz="8" w:space="0"/>
              <w:bottom w:val="single" w:color="auto" w:sz="8" w:space="0"/>
              <w:right w:val="single" w:color="auto" w:sz="4" w:space="0"/>
            </w:tcBorders>
            <w:shd w:val="clear" w:color="auto" w:fill="auto"/>
            <w:noWrap w:val="0"/>
            <w:vAlign w:val="center"/>
          </w:tcPr>
          <w:p>
            <w:pPr>
              <w:jc w:val="center"/>
              <w:rPr>
                <w:b/>
                <w:bCs/>
                <w:color w:val="000000"/>
                <w:sz w:val="18"/>
                <w:szCs w:val="18"/>
                <w:lang w:val="en-US" w:eastAsia="ko-KR"/>
              </w:rPr>
            </w:pPr>
          </w:p>
        </w:tc>
        <w:tc>
          <w:tcPr>
            <w:tcW w:w="1827" w:type="dxa"/>
            <w:tcBorders>
              <w:top w:val="single" w:color="auto" w:sz="8" w:space="0"/>
              <w:left w:val="single" w:color="auto" w:sz="8" w:space="0"/>
              <w:bottom w:val="single" w:color="auto" w:sz="8"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UE0 (cell 0)</w:t>
            </w:r>
          </w:p>
          <w:p>
            <w:pPr>
              <w:jc w:val="center"/>
              <w:rPr>
                <w:b/>
                <w:bCs/>
                <w:color w:val="000000"/>
                <w:sz w:val="18"/>
                <w:szCs w:val="18"/>
                <w:lang w:val="en-US" w:eastAsia="ko-KR"/>
              </w:rPr>
            </w:pPr>
            <w:r>
              <w:rPr>
                <w:b/>
                <w:bCs/>
                <w:color w:val="000000"/>
                <w:sz w:val="18"/>
                <w:szCs w:val="18"/>
                <w:lang w:val="en-US" w:eastAsia="ko-KR"/>
              </w:rPr>
              <w:t>[victim UE]</w:t>
            </w:r>
          </w:p>
        </w:tc>
        <w:tc>
          <w:tcPr>
            <w:tcW w:w="2518" w:type="dxa"/>
            <w:tcBorders>
              <w:top w:val="single" w:color="auto" w:sz="8" w:space="0"/>
              <w:left w:val="nil"/>
              <w:bottom w:val="single" w:color="auto" w:sz="8"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UE1 (cell 1)</w:t>
            </w:r>
          </w:p>
          <w:p>
            <w:pPr>
              <w:jc w:val="center"/>
              <w:rPr>
                <w:b/>
                <w:bCs/>
                <w:color w:val="000000"/>
                <w:sz w:val="18"/>
                <w:szCs w:val="18"/>
                <w:lang w:val="en-US" w:eastAsia="ko-KR"/>
              </w:rPr>
            </w:pPr>
            <w:r>
              <w:rPr>
                <w:b/>
                <w:bCs/>
                <w:color w:val="000000"/>
                <w:sz w:val="18"/>
                <w:szCs w:val="18"/>
                <w:lang w:val="en-US" w:eastAsia="ko-KR"/>
              </w:rPr>
              <w:t>[aggressor UE]</w:t>
            </w:r>
          </w:p>
        </w:tc>
        <w:tc>
          <w:tcPr>
            <w:tcW w:w="3011" w:type="dxa"/>
            <w:tcBorders>
              <w:top w:val="single" w:color="auto" w:sz="8" w:space="0"/>
              <w:left w:val="nil"/>
              <w:bottom w:val="single" w:color="auto" w:sz="8"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UE2 (cell 1)</w:t>
            </w:r>
          </w:p>
          <w:p>
            <w:pPr>
              <w:jc w:val="center"/>
              <w:rPr>
                <w:b/>
                <w:bCs/>
                <w:color w:val="000000"/>
                <w:sz w:val="18"/>
                <w:szCs w:val="18"/>
                <w:lang w:val="en-US" w:eastAsia="ko-KR"/>
              </w:rPr>
            </w:pPr>
            <w:r>
              <w:rPr>
                <w:b/>
                <w:bCs/>
                <w:color w:val="000000"/>
                <w:sz w:val="18"/>
                <w:szCs w:val="18"/>
                <w:lang w:val="en-US" w:eastAsia="ko-KR"/>
              </w:rPr>
              <w:t>[aggressor UE]</w:t>
            </w:r>
          </w:p>
        </w:tc>
      </w:tr>
      <w:tr>
        <w:tblPrEx>
          <w:tblCellMar>
            <w:top w:w="0" w:type="dxa"/>
            <w:left w:w="99" w:type="dxa"/>
            <w:bottom w:w="0" w:type="dxa"/>
            <w:right w:w="99" w:type="dxa"/>
          </w:tblCellMar>
        </w:tblPrEx>
        <w:trPr>
          <w:trHeight w:val="330" w:hRule="atLeast"/>
          <w:jc w:val="center"/>
        </w:trPr>
        <w:tc>
          <w:tcPr>
            <w:tcW w:w="2977" w:type="dxa"/>
            <w:gridSpan w:val="2"/>
            <w:tcBorders>
              <w:top w:val="nil"/>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Carrier frequency</w:t>
            </w:r>
          </w:p>
        </w:tc>
        <w:tc>
          <w:tcPr>
            <w:tcW w:w="7356" w:type="dxa"/>
            <w:gridSpan w:val="3"/>
            <w:tcBorders>
              <w:top w:val="nil"/>
              <w:left w:val="single" w:color="auto" w:sz="8" w:space="0"/>
              <w:bottom w:val="single" w:color="auto" w:sz="4" w:space="0"/>
              <w:right w:val="single" w:color="000000"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4GHz for FR1,</w:t>
            </w:r>
            <w:r>
              <w:rPr>
                <w:b/>
                <w:bCs/>
                <w:color w:val="000000"/>
                <w:sz w:val="18"/>
                <w:szCs w:val="18"/>
                <w:lang w:eastAsia="ko-KR"/>
              </w:rPr>
              <w:br w:type="textWrapping"/>
            </w:r>
            <w:r>
              <w:rPr>
                <w:b/>
                <w:bCs/>
                <w:color w:val="000000"/>
                <w:sz w:val="18"/>
                <w:szCs w:val="18"/>
                <w:lang w:eastAsia="ko-KR"/>
              </w:rPr>
              <w:t>30GHz for FR2</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Subcarrier spacing</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15kHz, 30kHz,60kHz for FR1</w:t>
            </w:r>
            <w:r>
              <w:rPr>
                <w:b/>
                <w:bCs/>
                <w:color w:val="000000"/>
                <w:sz w:val="18"/>
                <w:szCs w:val="18"/>
                <w:lang w:val="en-US" w:eastAsia="ko-KR"/>
              </w:rPr>
              <w:br w:type="textWrapping"/>
            </w:r>
            <w:r>
              <w:rPr>
                <w:b/>
                <w:bCs/>
                <w:color w:val="000000"/>
                <w:sz w:val="18"/>
                <w:szCs w:val="18"/>
                <w:lang w:val="en-US" w:eastAsia="ko-KR"/>
              </w:rPr>
              <w:t>60kHz, 120kHz for FR2</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same as UE0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same as UE0</w:t>
            </w:r>
          </w:p>
        </w:tc>
      </w:tr>
      <w:tr>
        <w:tblPrEx>
          <w:tblCellMar>
            <w:top w:w="0" w:type="dxa"/>
            <w:left w:w="99" w:type="dxa"/>
            <w:bottom w:w="0" w:type="dxa"/>
            <w:right w:w="99" w:type="dxa"/>
          </w:tblCellMar>
        </w:tblPrEx>
        <w:trPr>
          <w:trHeight w:val="330" w:hRule="atLeast"/>
          <w:jc w:val="center"/>
        </w:trPr>
        <w:tc>
          <w:tcPr>
            <w:tcW w:w="1238" w:type="dxa"/>
            <w:vMerge w:val="restart"/>
            <w:tcBorders>
              <w:top w:val="nil"/>
              <w:left w:val="single" w:color="auto" w:sz="8" w:space="0"/>
              <w:bottom w:val="single" w:color="000000"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SRS configuration</w:t>
            </w: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Number of port</w:t>
            </w:r>
          </w:p>
        </w:tc>
        <w:tc>
          <w:tcPr>
            <w:tcW w:w="1827" w:type="dxa"/>
            <w:vMerge w:val="restart"/>
            <w:tcBorders>
              <w:top w:val="nil"/>
              <w:left w:val="single" w:color="auto" w:sz="8" w:space="0"/>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N/A</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eastAsia="ko-KR"/>
              </w:rPr>
              <w:t>1</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1</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TransmissionComb</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eastAsia="ko-KR"/>
              </w:rPr>
              <w:t>2</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2</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rFonts w:hint="eastAsia"/>
                <w:b/>
                <w:bCs/>
                <w:color w:val="000000"/>
                <w:sz w:val="18"/>
                <w:szCs w:val="18"/>
                <w:lang w:val="en-US" w:eastAsia="ko-KR"/>
              </w:rPr>
            </w:pPr>
            <w:r>
              <w:rPr>
                <w:rFonts w:hint="eastAsia"/>
                <w:b/>
                <w:bCs/>
                <w:color w:val="000000"/>
                <w:sz w:val="18"/>
                <w:szCs w:val="18"/>
                <w:lang w:val="en-US" w:eastAsia="ko-KR"/>
              </w:rPr>
              <w:t>com</w:t>
            </w:r>
            <w:r>
              <w:rPr>
                <w:b/>
                <w:bCs/>
                <w:color w:val="000000"/>
                <w:sz w:val="18"/>
                <w:szCs w:val="18"/>
                <w:lang w:val="en-US" w:eastAsia="ko-KR"/>
              </w:rPr>
              <w:t>bOffset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eastAsia="ko-KR"/>
              </w:rPr>
            </w:pPr>
            <w:r>
              <w:rPr>
                <w:rFonts w:hint="eastAsia"/>
                <w:b/>
                <w:bCs/>
                <w:sz w:val="18"/>
                <w:szCs w:val="18"/>
                <w:lang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rFonts w:hint="eastAsia"/>
                <w:b/>
                <w:bCs/>
                <w:color w:val="000000"/>
                <w:sz w:val="18"/>
                <w:szCs w:val="18"/>
                <w:lang w:val="en-US" w:eastAsia="ko-KR"/>
              </w:rPr>
              <w:t>0</w:t>
            </w:r>
          </w:p>
        </w:tc>
      </w:tr>
      <w:tr>
        <w:tblPrEx>
          <w:tblCellMar>
            <w:top w:w="0" w:type="dxa"/>
            <w:left w:w="99" w:type="dxa"/>
            <w:bottom w:w="0" w:type="dxa"/>
            <w:right w:w="99" w:type="dxa"/>
          </w:tblCellMar>
        </w:tblPrEx>
        <w:trPr>
          <w:trHeight w:val="51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Cyclic shift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sz w:val="18"/>
                <w:szCs w:val="18"/>
                <w:lang w:val="en-US" w:eastAsia="ko-KR"/>
              </w:rPr>
            </w:pPr>
            <w:r>
              <w:rPr>
                <w:b/>
                <w:bCs/>
                <w:sz w:val="18"/>
                <w:szCs w:val="18"/>
                <w:lang w:val="en-US" w:eastAsia="ko-KR"/>
              </w:rPr>
              <w:t>0</w:t>
            </w:r>
          </w:p>
        </w:tc>
      </w:tr>
      <w:tr>
        <w:tblPrEx>
          <w:tblCellMar>
            <w:top w:w="0" w:type="dxa"/>
            <w:left w:w="99" w:type="dxa"/>
            <w:bottom w:w="0" w:type="dxa"/>
            <w:right w:w="99" w:type="dxa"/>
          </w:tblCellMar>
        </w:tblPrEx>
        <w:trPr>
          <w:trHeight w:val="51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StartPosition (SRS symbol start position)</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0</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Number of symbol</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1</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1</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Number of RB</w:t>
            </w:r>
            <w:r>
              <w:rPr>
                <w:b/>
                <w:bCs/>
                <w:color w:val="000000"/>
                <w:sz w:val="18"/>
                <w:szCs w:val="18"/>
                <w:vertAlign w:val="superscript"/>
                <w:lang w:val="en-US" w:eastAsia="ko-KR"/>
              </w:rPr>
              <w:t xml:space="preserve"> Note1</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24 or 48</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same as UE1</w:t>
            </w:r>
          </w:p>
        </w:tc>
      </w:tr>
      <w:tr>
        <w:tblPrEx>
          <w:tblCellMar>
            <w:top w:w="0" w:type="dxa"/>
            <w:left w:w="99" w:type="dxa"/>
            <w:bottom w:w="0" w:type="dxa"/>
            <w:right w:w="99" w:type="dxa"/>
          </w:tblCellMar>
        </w:tblPrEx>
        <w:trPr>
          <w:trHeight w:val="51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Frequency domain position and shift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0</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Periodicity [slot]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5</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same as UE1</w:t>
            </w:r>
          </w:p>
        </w:tc>
      </w:tr>
      <w:tr>
        <w:tblPrEx>
          <w:tblCellMar>
            <w:top w:w="0" w:type="dxa"/>
            <w:left w:w="99" w:type="dxa"/>
            <w:bottom w:w="0" w:type="dxa"/>
            <w:right w:w="99" w:type="dxa"/>
          </w:tblCellMar>
        </w:tblPrEx>
        <w:trPr>
          <w:trHeight w:val="1125"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Timing error</w:t>
            </w:r>
            <w:r>
              <w:rPr>
                <w:b/>
                <w:bCs/>
                <w:color w:val="000000"/>
                <w:sz w:val="18"/>
                <w:szCs w:val="18"/>
                <w:highlight w:val="none"/>
                <w:vertAlign w:val="superscript"/>
                <w:lang w:val="en-US" w:eastAsia="ko-KR"/>
              </w:rPr>
              <w:t>Note2</w:t>
            </w:r>
            <w:r>
              <w:rPr>
                <w:b/>
                <w:bCs/>
                <w:color w:val="000000"/>
                <w:sz w:val="18"/>
                <w:szCs w:val="18"/>
                <w:lang w:val="en-US" w:eastAsia="ko-KR"/>
              </w:rPr>
              <w:t xml:space="preserve"> for UE 1 and UE2</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rFonts w:hint="eastAsia" w:eastAsia="宋体"/>
                <w:b/>
                <w:bCs/>
                <w:sz w:val="18"/>
                <w:szCs w:val="18"/>
                <w:lang w:val="en-US" w:eastAsia="zh-CN"/>
              </w:rPr>
            </w:pPr>
            <w:r>
              <w:rPr>
                <w:rFonts w:hint="eastAsia" w:eastAsia="宋体"/>
                <w:b/>
                <w:bCs/>
                <w:sz w:val="18"/>
                <w:szCs w:val="18"/>
                <w:lang w:val="en-US" w:eastAsia="zh-CN"/>
              </w:rPr>
              <w:t xml:space="preserve">[4.67 </w:t>
            </w:r>
            <w:r>
              <w:rPr>
                <w:b/>
                <w:bCs/>
                <w:sz w:val="18"/>
                <w:szCs w:val="18"/>
                <w:lang w:val="en-US" w:eastAsia="ko-KR"/>
              </w:rPr>
              <w:t>usec for FR1,</w:t>
            </w:r>
            <w:r>
              <w:rPr>
                <w:b/>
                <w:bCs/>
                <w:sz w:val="18"/>
                <w:szCs w:val="18"/>
                <w:lang w:val="en-US" w:eastAsia="ko-KR"/>
              </w:rPr>
              <w:br w:type="textWrapping"/>
            </w:r>
            <w:r>
              <w:rPr>
                <w:rFonts w:hint="eastAsia" w:eastAsia="宋体"/>
                <w:b/>
                <w:bCs/>
                <w:sz w:val="18"/>
                <w:szCs w:val="18"/>
                <w:lang w:val="en-US" w:eastAsia="zh-CN"/>
              </w:rPr>
              <w:t xml:space="preserve">3.67 </w:t>
            </w:r>
            <w:r>
              <w:rPr>
                <w:b/>
                <w:bCs/>
                <w:sz w:val="18"/>
                <w:szCs w:val="18"/>
                <w:lang w:val="en-US" w:eastAsia="ko-KR"/>
              </w:rPr>
              <w:t>usec for FR2</w:t>
            </w:r>
            <w:r>
              <w:rPr>
                <w:rFonts w:hint="eastAsia" w:eastAsia="宋体"/>
                <w:b/>
                <w:bCs/>
                <w:sz w:val="18"/>
                <w:szCs w:val="18"/>
                <w:lang w:val="en-US" w:eastAsia="zh-CN"/>
              </w:rPr>
              <w:t>]</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rFonts w:hint="eastAsia"/>
                <w:b/>
                <w:bCs/>
                <w:sz w:val="18"/>
                <w:szCs w:val="18"/>
                <w:lang w:val="en-US" w:eastAsia="ko-KR"/>
              </w:rPr>
              <w:t>-</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w:t>
            </w:r>
          </w:p>
        </w:tc>
      </w:tr>
      <w:tr>
        <w:tblPrEx>
          <w:tblCellMar>
            <w:top w:w="0" w:type="dxa"/>
            <w:left w:w="99" w:type="dxa"/>
            <w:bottom w:w="0" w:type="dxa"/>
            <w:right w:w="99" w:type="dxa"/>
          </w:tblCellMar>
        </w:tblPrEx>
        <w:trPr>
          <w:trHeight w:val="33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CP Length</w:t>
            </w:r>
          </w:p>
        </w:tc>
        <w:tc>
          <w:tcPr>
            <w:tcW w:w="7356" w:type="dxa"/>
            <w:gridSpan w:val="3"/>
            <w:tcBorders>
              <w:top w:val="single" w:color="auto" w:sz="4" w:space="0"/>
              <w:left w:val="single" w:color="auto" w:sz="8" w:space="0"/>
              <w:bottom w:val="single" w:color="auto" w:sz="4" w:space="0"/>
              <w:right w:val="single" w:color="000000" w:sz="8" w:space="0"/>
            </w:tcBorders>
            <w:shd w:val="clear" w:color="auto" w:fill="auto"/>
            <w:noWrap w:val="0"/>
            <w:vAlign w:val="center"/>
          </w:tcPr>
          <w:p>
            <w:pPr>
              <w:jc w:val="center"/>
              <w:rPr>
                <w:b/>
                <w:bCs/>
                <w:sz w:val="18"/>
                <w:szCs w:val="18"/>
                <w:lang w:val="en-US" w:eastAsia="ko-KR"/>
              </w:rPr>
            </w:pPr>
            <w:r>
              <w:rPr>
                <w:b/>
                <w:bCs/>
                <w:sz w:val="18"/>
                <w:szCs w:val="18"/>
                <w:lang w:eastAsia="ko-KR"/>
              </w:rPr>
              <w:t>Normal</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Number of measurement samples</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rFonts w:hint="eastAsia" w:eastAsia="宋体"/>
                <w:b/>
                <w:bCs/>
                <w:sz w:val="18"/>
                <w:szCs w:val="18"/>
                <w:lang w:val="en-US" w:eastAsia="zh-CN"/>
              </w:rPr>
            </w:pPr>
            <w:r>
              <w:rPr>
                <w:rFonts w:hint="eastAsia" w:eastAsia="宋体"/>
                <w:b/>
                <w:bCs/>
                <w:sz w:val="18"/>
                <w:szCs w:val="18"/>
                <w:lang w:val="en-US" w:eastAsia="zh-CN"/>
              </w:rPr>
              <w:t>[1</w:t>
            </w:r>
            <w:r>
              <w:rPr>
                <w:b/>
                <w:bCs/>
                <w:sz w:val="18"/>
                <w:szCs w:val="18"/>
                <w:lang w:eastAsia="ko-KR"/>
              </w:rPr>
              <w:t xml:space="preserve"> or </w:t>
            </w:r>
            <w:r>
              <w:rPr>
                <w:rFonts w:hint="eastAsia" w:eastAsia="宋体"/>
                <w:b/>
                <w:bCs/>
                <w:sz w:val="18"/>
                <w:szCs w:val="18"/>
                <w:lang w:val="en-US" w:eastAsia="zh-CN"/>
              </w:rPr>
              <w:t>2 or 3</w:t>
            </w:r>
            <w:r>
              <w:rPr>
                <w:rFonts w:hint="eastAsia" w:eastAsia="宋体"/>
                <w:b/>
                <w:bCs/>
                <w:sz w:val="18"/>
                <w:szCs w:val="18"/>
                <w:lang w:val="en-US" w:eastAsia="zh-CN"/>
              </w:rPr>
              <w:t>]</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N/A</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N/A</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eastAsia="ko-KR"/>
              </w:rPr>
            </w:pPr>
            <w:r>
              <w:rPr>
                <w:b/>
                <w:bCs/>
                <w:color w:val="000000"/>
                <w:sz w:val="18"/>
                <w:szCs w:val="18"/>
                <w:lang w:eastAsia="ko-KR"/>
              </w:rPr>
              <w:t>M</w:t>
            </w:r>
            <w:r>
              <w:rPr>
                <w:rFonts w:hint="eastAsia"/>
                <w:b/>
                <w:bCs/>
                <w:color w:val="000000"/>
                <w:sz w:val="18"/>
                <w:szCs w:val="18"/>
                <w:lang w:eastAsia="ko-KR"/>
              </w:rPr>
              <w:t xml:space="preserve">easurement </w:t>
            </w:r>
            <w:r>
              <w:rPr>
                <w:b/>
                <w:bCs/>
                <w:color w:val="000000"/>
                <w:sz w:val="18"/>
                <w:szCs w:val="18"/>
                <w:lang w:eastAsia="ko-KR"/>
              </w:rPr>
              <w:t>bandwidth [RB]</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b/>
                <w:bCs/>
                <w:sz w:val="18"/>
                <w:szCs w:val="18"/>
                <w:lang w:eastAsia="ko-KR"/>
              </w:rPr>
            </w:pPr>
            <w:r>
              <w:rPr>
                <w:b/>
                <w:bCs/>
                <w:sz w:val="18"/>
                <w:szCs w:val="18"/>
                <w:lang w:eastAsia="ko-KR"/>
              </w:rPr>
              <w:t>S</w:t>
            </w:r>
            <w:r>
              <w:rPr>
                <w:rFonts w:hint="eastAsia"/>
                <w:b/>
                <w:bCs/>
                <w:sz w:val="18"/>
                <w:szCs w:val="18"/>
                <w:lang w:eastAsia="ko-KR"/>
              </w:rPr>
              <w:t xml:space="preserve">ame </w:t>
            </w:r>
            <w:r>
              <w:rPr>
                <w:b/>
                <w:bCs/>
                <w:sz w:val="18"/>
                <w:szCs w:val="18"/>
                <w:lang w:eastAsia="ko-KR"/>
              </w:rPr>
              <w:t>as SRS transmission RB</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p>
        </w:tc>
      </w:tr>
      <w:tr>
        <w:tblPrEx>
          <w:tblCellMar>
            <w:top w:w="0" w:type="dxa"/>
            <w:left w:w="99" w:type="dxa"/>
            <w:bottom w:w="0" w:type="dxa"/>
            <w:right w:w="99" w:type="dxa"/>
          </w:tblCellMar>
        </w:tblPrEx>
        <w:trPr>
          <w:trHeight w:val="33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Measurement period [slot]</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5</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N/A</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N/A</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Number of UE receive antennas</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2 Rx</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N/A</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N/A</w:t>
            </w:r>
          </w:p>
        </w:tc>
      </w:tr>
      <w:tr>
        <w:tblPrEx>
          <w:tblCellMar>
            <w:top w:w="0" w:type="dxa"/>
            <w:left w:w="99" w:type="dxa"/>
            <w:bottom w:w="0" w:type="dxa"/>
            <w:right w:w="99" w:type="dxa"/>
          </w:tblCellMar>
        </w:tblPrEx>
        <w:trPr>
          <w:trHeight w:val="510" w:hRule="atLeast"/>
          <w:jc w:val="center"/>
        </w:trPr>
        <w:tc>
          <w:tcPr>
            <w:tcW w:w="2977" w:type="dxa"/>
            <w:gridSpan w:val="2"/>
            <w:vMerge w:val="restart"/>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Propagation conditions</w:t>
            </w:r>
          </w:p>
        </w:tc>
        <w:tc>
          <w:tcPr>
            <w:tcW w:w="7356" w:type="dxa"/>
            <w:gridSpan w:val="3"/>
            <w:vMerge w:val="restart"/>
            <w:tcBorders>
              <w:top w:val="single" w:color="auto" w:sz="4" w:space="0"/>
              <w:left w:val="single" w:color="auto" w:sz="8" w:space="0"/>
              <w:bottom w:val="single" w:color="auto" w:sz="4" w:space="0"/>
              <w:right w:val="single" w:color="000000" w:sz="8" w:space="0"/>
            </w:tcBorders>
            <w:shd w:val="clear" w:color="auto" w:fill="auto"/>
            <w:noWrap w:val="0"/>
            <w:vAlign w:val="center"/>
          </w:tcPr>
          <w:p>
            <w:pPr>
              <w:jc w:val="center"/>
              <w:rPr>
                <w:b/>
                <w:bCs/>
                <w:sz w:val="18"/>
                <w:szCs w:val="18"/>
                <w:lang w:val="en-US" w:eastAsia="ko-KR"/>
              </w:rPr>
            </w:pPr>
            <w:r>
              <w:rPr>
                <w:b/>
                <w:bCs/>
                <w:sz w:val="18"/>
                <w:szCs w:val="18"/>
                <w:lang w:val="es-ES" w:eastAsia="ko-KR"/>
              </w:rPr>
              <w:t>AWGN, TDL-A10, TDL-C100 for FR1,</w:t>
            </w:r>
            <w:r>
              <w:rPr>
                <w:b/>
                <w:bCs/>
                <w:sz w:val="18"/>
                <w:szCs w:val="18"/>
                <w:lang w:val="es-ES" w:eastAsia="ko-KR"/>
              </w:rPr>
              <w:br w:type="textWrapping"/>
            </w:r>
            <w:r>
              <w:rPr>
                <w:b/>
                <w:bCs/>
                <w:sz w:val="18"/>
                <w:szCs w:val="18"/>
                <w:lang w:val="es-ES" w:eastAsia="ko-KR"/>
              </w:rPr>
              <w:t>AWGN, TDL-A75, TDL-C300 for FR2</w:t>
            </w:r>
          </w:p>
        </w:tc>
      </w:tr>
      <w:tr>
        <w:tblPrEx>
          <w:tblCellMar>
            <w:top w:w="0" w:type="dxa"/>
            <w:left w:w="99" w:type="dxa"/>
            <w:bottom w:w="0" w:type="dxa"/>
            <w:right w:w="99" w:type="dxa"/>
          </w:tblCellMar>
        </w:tblPrEx>
        <w:trPr>
          <w:trHeight w:val="330" w:hRule="atLeast"/>
          <w:jc w:val="center"/>
        </w:trPr>
        <w:tc>
          <w:tcPr>
            <w:tcW w:w="2977" w:type="dxa"/>
            <w:gridSpan w:val="2"/>
            <w:vMerge w:val="continue"/>
            <w:tcBorders>
              <w:top w:val="single" w:color="auto" w:sz="8" w:space="0"/>
              <w:left w:val="single" w:color="auto" w:sz="8" w:space="0"/>
              <w:bottom w:val="single" w:color="auto" w:sz="4" w:space="0"/>
              <w:right w:val="single" w:color="auto" w:sz="4" w:space="0"/>
            </w:tcBorders>
            <w:noWrap w:val="0"/>
            <w:vAlign w:val="center"/>
          </w:tcPr>
          <w:p>
            <w:pPr>
              <w:rPr>
                <w:b/>
                <w:bCs/>
                <w:color w:val="000000"/>
                <w:sz w:val="18"/>
                <w:szCs w:val="18"/>
                <w:lang w:val="en-US" w:eastAsia="ko-KR"/>
              </w:rPr>
            </w:pPr>
          </w:p>
        </w:tc>
        <w:tc>
          <w:tcPr>
            <w:tcW w:w="7356" w:type="dxa"/>
            <w:gridSpan w:val="3"/>
            <w:vMerge w:val="continue"/>
            <w:tcBorders>
              <w:top w:val="single" w:color="auto" w:sz="8" w:space="0"/>
              <w:left w:val="single" w:color="auto" w:sz="8" w:space="0"/>
              <w:bottom w:val="single" w:color="auto" w:sz="4" w:space="0"/>
              <w:right w:val="single" w:color="000000" w:sz="8" w:space="0"/>
            </w:tcBorders>
            <w:noWrap w:val="0"/>
            <w:vAlign w:val="center"/>
          </w:tcPr>
          <w:p>
            <w:pPr>
              <w:rPr>
                <w:b/>
                <w:bCs/>
                <w:sz w:val="18"/>
                <w:szCs w:val="18"/>
                <w:lang w:val="en-US" w:eastAsia="ko-KR"/>
              </w:rPr>
            </w:pPr>
          </w:p>
        </w:tc>
      </w:tr>
      <w:tr>
        <w:tblPrEx>
          <w:tblCellMar>
            <w:top w:w="0" w:type="dxa"/>
            <w:left w:w="99" w:type="dxa"/>
            <w:bottom w:w="0" w:type="dxa"/>
            <w:right w:w="99" w:type="dxa"/>
          </w:tblCellMar>
        </w:tblPrEx>
        <w:trPr>
          <w:trHeight w:val="345"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SINR</w:t>
            </w:r>
          </w:p>
        </w:tc>
        <w:tc>
          <w:tcPr>
            <w:tcW w:w="1827" w:type="dxa"/>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eastAsia="ko-KR"/>
              </w:rPr>
              <w:t>-3dB or -1dB</w:t>
            </w:r>
          </w:p>
        </w:tc>
        <w:tc>
          <w:tcPr>
            <w:tcW w:w="2518" w:type="dxa"/>
            <w:tcBorders>
              <w:top w:val="single" w:color="auto" w:sz="4" w:space="0"/>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N/A</w:t>
            </w:r>
          </w:p>
        </w:tc>
        <w:tc>
          <w:tcPr>
            <w:tcW w:w="3011" w:type="dxa"/>
            <w:tcBorders>
              <w:top w:val="single" w:color="auto" w:sz="4" w:space="0"/>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N/A</w:t>
            </w:r>
          </w:p>
        </w:tc>
      </w:tr>
      <w:tr>
        <w:trPr>
          <w:trHeight w:val="345" w:hRule="atLeast"/>
          <w:jc w:val="center"/>
        </w:trPr>
        <w:tc>
          <w:tcPr>
            <w:tcW w:w="10333" w:type="dxa"/>
            <w:gridSpan w:val="5"/>
            <w:tcBorders>
              <w:top w:val="single" w:color="auto" w:sz="4" w:space="0"/>
              <w:left w:val="single" w:color="auto" w:sz="8" w:space="0"/>
              <w:bottom w:val="single" w:color="auto" w:sz="8" w:space="0"/>
              <w:right w:val="single" w:color="auto" w:sz="8" w:space="0"/>
            </w:tcBorders>
            <w:shd w:val="clear" w:color="auto" w:fill="auto"/>
            <w:noWrap w:val="0"/>
            <w:vAlign w:val="center"/>
          </w:tcPr>
          <w:p>
            <w:pPr>
              <w:jc w:val="both"/>
              <w:rPr>
                <w:b/>
                <w:bCs/>
                <w:lang w:eastAsia="ko-KR"/>
              </w:rPr>
            </w:pPr>
            <w:r>
              <w:rPr>
                <w:rFonts w:hint="eastAsia"/>
                <w:b/>
                <w:bCs/>
                <w:lang w:eastAsia="ko-KR"/>
              </w:rPr>
              <w:t xml:space="preserve">Note 1: </w:t>
            </w:r>
            <w:r>
              <w:rPr>
                <w:b/>
                <w:bCs/>
                <w:lang w:eastAsia="ko-KR"/>
              </w:rPr>
              <w:t>Allocated RBs are within active BWP for measurement UE.</w:t>
            </w:r>
          </w:p>
          <w:p>
            <w:pPr>
              <w:jc w:val="both"/>
              <w:rPr>
                <w:rFonts w:hint="eastAsia"/>
                <w:b/>
                <w:bCs/>
                <w:lang w:eastAsia="ko-KR"/>
              </w:rPr>
            </w:pPr>
            <w:r>
              <w:rPr>
                <w:rFonts w:hint="eastAsia"/>
                <w:b/>
                <w:bCs/>
                <w:lang w:eastAsia="ko-KR"/>
              </w:rPr>
              <w:t xml:space="preserve">Note 2: </w:t>
            </w:r>
            <w:r>
              <w:rPr>
                <w:b/>
                <w:bCs/>
                <w:highlight w:val="none"/>
                <w:lang w:eastAsia="ko-KR"/>
              </w:rPr>
              <w:t xml:space="preserve">Timing error </w:t>
            </w:r>
            <w:r>
              <w:rPr>
                <w:b/>
                <w:bCs/>
                <w:lang w:eastAsia="ko-KR"/>
              </w:rPr>
              <w:t xml:space="preserve">is </w:t>
            </w:r>
            <w:r>
              <w:rPr>
                <w:rFonts w:hint="eastAsia"/>
                <w:b/>
                <w:bCs/>
                <w:lang w:eastAsia="ko-KR"/>
              </w:rPr>
              <w:t>Tc*N</w:t>
            </w:r>
            <w:r>
              <w:rPr>
                <w:rFonts w:hint="eastAsia"/>
                <w:b/>
                <w:bCs/>
                <w:sz w:val="13"/>
                <w:szCs w:val="13"/>
                <w:lang w:eastAsia="ko-KR"/>
              </w:rPr>
              <w:t>TA_offset</w:t>
            </w:r>
            <w:r>
              <w:rPr>
                <w:rFonts w:hint="eastAsia"/>
                <w:b/>
                <w:bCs/>
                <w:lang w:eastAsia="ko-KR"/>
              </w:rPr>
              <w:t xml:space="preserve"> + T</w:t>
            </w:r>
            <w:r>
              <w:rPr>
                <w:rFonts w:hint="eastAsia"/>
                <w:b/>
                <w:bCs/>
                <w:sz w:val="13"/>
                <w:szCs w:val="13"/>
                <w:lang w:eastAsia="ko-KR"/>
              </w:rPr>
              <w:t>other</w:t>
            </w:r>
            <w:r>
              <w:rPr>
                <w:b/>
                <w:bCs/>
                <w:lang w:eastAsia="ko-KR"/>
              </w:rPr>
              <w:t xml:space="preserve">. </w:t>
            </w:r>
            <w:r>
              <w:rPr>
                <w:rFonts w:hint="eastAsia"/>
                <w:b/>
                <w:bCs/>
                <w:lang w:eastAsia="ko-KR"/>
              </w:rPr>
              <w:t>T</w:t>
            </w:r>
            <w:r>
              <w:rPr>
                <w:rFonts w:hint="eastAsia"/>
                <w:b/>
                <w:bCs/>
                <w:sz w:val="13"/>
                <w:szCs w:val="13"/>
                <w:lang w:eastAsia="ko-KR"/>
              </w:rPr>
              <w:t>other</w:t>
            </w:r>
            <w:r>
              <w:rPr>
                <w:rFonts w:hint="eastAsia"/>
                <w:b/>
                <w:bCs/>
                <w:lang w:eastAsia="ko-KR"/>
              </w:rPr>
              <w:t xml:space="preserve"> = T</w:t>
            </w:r>
            <w:r>
              <w:rPr>
                <w:rFonts w:hint="eastAsia"/>
                <w:b/>
                <w:bCs/>
                <w:sz w:val="13"/>
                <w:szCs w:val="13"/>
                <w:lang w:eastAsia="ko-KR"/>
              </w:rPr>
              <w:t>propagation_delay</w:t>
            </w:r>
            <w:r>
              <w:rPr>
                <w:rFonts w:hint="eastAsia"/>
                <w:b/>
                <w:bCs/>
                <w:lang w:eastAsia="ko-KR"/>
              </w:rPr>
              <w:t xml:space="preserve"> + T</w:t>
            </w:r>
            <w:r>
              <w:rPr>
                <w:rFonts w:hint="eastAsia"/>
                <w:b/>
                <w:bCs/>
                <w:sz w:val="13"/>
                <w:szCs w:val="13"/>
                <w:lang w:eastAsia="ko-KR"/>
              </w:rPr>
              <w:t>cell_phase_synchronization</w:t>
            </w:r>
          </w:p>
          <w:p>
            <w:pPr>
              <w:jc w:val="both"/>
              <w:rPr>
                <w:b/>
                <w:bCs/>
                <w:lang w:eastAsia="ko-KR"/>
              </w:rPr>
            </w:pPr>
            <w:r>
              <w:rPr>
                <w:rFonts w:hint="eastAsia" w:eastAsia="宋体"/>
                <w:b/>
                <w:bCs/>
                <w:lang w:val="en-US" w:eastAsia="zh-CN"/>
              </w:rPr>
              <w:t xml:space="preserve">Where </w:t>
            </w:r>
            <w:r>
              <w:rPr>
                <w:rFonts w:hint="eastAsia"/>
                <w:b/>
                <w:bCs/>
                <w:lang w:eastAsia="ko-KR"/>
              </w:rPr>
              <w:t>T</w:t>
            </w:r>
            <w:r>
              <w:rPr>
                <w:rFonts w:hint="eastAsia"/>
                <w:b/>
                <w:bCs/>
                <w:sz w:val="13"/>
                <w:szCs w:val="13"/>
                <w:lang w:eastAsia="ko-KR"/>
              </w:rPr>
              <w:t>other</w:t>
            </w:r>
            <w:r>
              <w:rPr>
                <w:rFonts w:hint="eastAsia"/>
                <w:b/>
                <w:bCs/>
                <w:lang w:eastAsia="ko-KR"/>
              </w:rPr>
              <w:t xml:space="preserve"> = 4.67usec for FR1 and 3.67usec for FR2</w:t>
            </w:r>
            <w:r>
              <w:rPr>
                <w:rFonts w:hint="eastAsia" w:eastAsia="宋体"/>
                <w:b/>
                <w:bCs/>
                <w:lang w:val="en-US" w:eastAsia="zh-CN"/>
              </w:rPr>
              <w:t xml:space="preserve"> </w:t>
            </w:r>
            <w:r>
              <w:rPr>
                <w:rFonts w:hint="eastAsia"/>
                <w:b/>
                <w:bCs/>
                <w:lang w:eastAsia="ko-KR"/>
              </w:rPr>
              <w:t>under the assumption that ISD=500m for FR1 and ISD=200m for FR2</w:t>
            </w:r>
          </w:p>
          <w:p>
            <w:pPr>
              <w:rPr>
                <w:rFonts w:hint="eastAsia"/>
                <w:b/>
                <w:bCs/>
                <w:lang w:eastAsia="ko-KR"/>
              </w:rPr>
            </w:pPr>
            <w:r>
              <w:rPr>
                <w:b/>
                <w:bCs/>
                <w:lang w:eastAsia="ko-KR"/>
              </w:rPr>
              <w:t>Note 3: No frequency hopping is assumed.</w:t>
            </w:r>
          </w:p>
        </w:tc>
      </w:tr>
    </w:tbl>
    <w:p>
      <w:pPr>
        <w:pStyle w:val="9"/>
        <w:bidi w:val="0"/>
        <w:rPr>
          <w:rFonts w:hint="eastAsia" w:cs="Arial"/>
          <w:kern w:val="0"/>
          <w:sz w:val="20"/>
          <w:szCs w:val="24"/>
          <w:lang w:val="en-US" w:eastAsia="zh-CN" w:bidi="ar-SA"/>
        </w:rPr>
      </w:pP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b w:val="0"/>
          <w:bCs w:val="0"/>
          <w:u w:val="single"/>
          <w:lang w:val="en-US" w:eastAsia="zh-CN"/>
        </w:rPr>
        <w:t>Side condition</w:t>
      </w:r>
    </w:p>
    <w:p>
      <w:pPr>
        <w:numPr>
          <w:ilvl w:val="0"/>
          <w:numId w:val="0"/>
        </w:numPr>
        <w:rPr>
          <w:rFonts w:hint="eastAsia"/>
          <w:lang w:val="en-US" w:eastAsia="zh-CN"/>
        </w:rPr>
      </w:pPr>
      <w:r>
        <w:rPr>
          <w:rFonts w:hint="eastAsia"/>
          <w:lang w:val="en-US" w:eastAsia="zh-CN"/>
        </w:rPr>
        <w:t xml:space="preserve">For Method#2, we believe the following side conditions are need to consider: </w:t>
      </w:r>
    </w:p>
    <w:p>
      <w:pPr>
        <w:numPr>
          <w:ilvl w:val="0"/>
          <w:numId w:val="14"/>
        </w:numPr>
        <w:ind w:left="840" w:leftChars="0" w:hanging="420" w:firstLineChars="0"/>
        <w:rPr>
          <w:rFonts w:hint="default" w:cs="Times New Roman"/>
          <w:iCs/>
          <w:color w:val="auto"/>
          <w:kern w:val="2"/>
          <w:sz w:val="18"/>
          <w:szCs w:val="18"/>
          <w:lang w:val="en-US" w:eastAsia="zh-CN" w:bidi="ar-SA"/>
        </w:rPr>
      </w:pPr>
      <w:r>
        <w:rPr>
          <w:rFonts w:hint="eastAsia"/>
          <w:color w:val="auto"/>
          <w:lang w:val="en-US" w:eastAsia="zh-CN"/>
        </w:rPr>
        <w:t>Side condition of time offset between UE</w:t>
      </w:r>
      <w:r>
        <w:rPr>
          <w:rFonts w:hint="default"/>
          <w:color w:val="auto"/>
          <w:lang w:val="en-US" w:eastAsia="zh-CN"/>
        </w:rPr>
        <w:t>’</w:t>
      </w:r>
      <w:r>
        <w:rPr>
          <w:rFonts w:hint="eastAsia"/>
          <w:color w:val="auto"/>
          <w:lang w:val="en-US" w:eastAsia="zh-CN"/>
        </w:rPr>
        <w:t>s DL reference timing in the serving cell and SRS arrival time.</w:t>
      </w:r>
    </w:p>
    <w:p>
      <w:pPr>
        <w:numPr>
          <w:ilvl w:val="0"/>
          <w:numId w:val="14"/>
        </w:numPr>
        <w:ind w:left="840" w:leftChars="0" w:hanging="420" w:firstLineChars="0"/>
        <w:rPr>
          <w:rFonts w:hint="eastAsia"/>
          <w:color w:val="auto"/>
          <w:lang w:val="en-US" w:eastAsia="zh-CN"/>
        </w:rPr>
      </w:pPr>
      <w:r>
        <w:rPr>
          <w:rFonts w:hint="eastAsia"/>
          <w:color w:val="auto"/>
          <w:lang w:val="en-US" w:eastAsia="zh-CN"/>
        </w:rPr>
        <w:t xml:space="preserve">Side condition of </w:t>
      </w:r>
      <w:r>
        <w:rPr>
          <w:lang w:eastAsia="ja-JP"/>
        </w:rPr>
        <w:t>SRS Es/Iot</w:t>
      </w:r>
      <w:r>
        <w:rPr>
          <w:rFonts w:hint="eastAsia"/>
          <w:color w:val="auto"/>
          <w:lang w:val="en-US" w:eastAsia="zh-CN"/>
        </w:rPr>
        <w:t>.</w:t>
      </w:r>
    </w:p>
    <w:p>
      <w:pPr>
        <w:numPr>
          <w:ilvl w:val="0"/>
          <w:numId w:val="14"/>
        </w:numPr>
        <w:ind w:left="840" w:leftChars="0" w:hanging="420" w:firstLineChars="0"/>
        <w:rPr>
          <w:rFonts w:hint="eastAsia"/>
          <w:color w:val="auto"/>
          <w:lang w:val="en-US" w:eastAsia="zh-CN"/>
        </w:rPr>
      </w:pPr>
      <w:r>
        <w:rPr>
          <w:rFonts w:hint="eastAsia"/>
          <w:color w:val="auto"/>
          <w:lang w:val="en-US" w:eastAsia="zh-CN"/>
        </w:rPr>
        <w:t>Side condition of maximum/minimum SRS-RSRP</w:t>
      </w:r>
    </w:p>
    <w:p>
      <w:pPr>
        <w:pStyle w:val="9"/>
        <w:bidi w:val="0"/>
        <w:rPr>
          <w:rFonts w:hint="eastAsia"/>
          <w:lang w:val="en-US" w:eastAsia="zh-CN"/>
        </w:rPr>
      </w:pPr>
      <w:r>
        <w:rPr>
          <w:rFonts w:hint="eastAsia"/>
          <w:lang w:val="en-US" w:eastAsia="zh-CN"/>
        </w:rPr>
        <w:t>For the time offset, the following options were discussed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5"/>
              </w:numPr>
              <w:ind w:firstLineChars="0"/>
              <w:rPr>
                <w:lang w:eastAsia="ja-JP"/>
              </w:rPr>
            </w:pPr>
            <w:r>
              <w:rPr>
                <w:lang w:eastAsia="ja-JP"/>
              </w:rPr>
              <w:t>Time offset between DL timing and SRS arrival timing</w:t>
            </w:r>
          </w:p>
          <w:p>
            <w:pPr>
              <w:pStyle w:val="29"/>
              <w:numPr>
                <w:ilvl w:val="1"/>
                <w:numId w:val="5"/>
              </w:numPr>
              <w:ind w:firstLineChars="0"/>
              <w:rPr>
                <w:lang w:eastAsia="ja-JP"/>
              </w:rPr>
            </w:pPr>
            <w:r>
              <w:rPr>
                <w:lang w:eastAsia="ja-JP"/>
              </w:rPr>
              <w:t>Option 1: Rel-16 CLI SRS RSRP assumption</w:t>
            </w:r>
          </w:p>
          <w:p>
            <w:pPr>
              <w:pStyle w:val="29"/>
              <w:numPr>
                <w:ilvl w:val="1"/>
                <w:numId w:val="5"/>
              </w:numPr>
              <w:ind w:firstLineChars="0"/>
              <w:rPr>
                <w:lang w:eastAsia="ja-JP"/>
              </w:rPr>
            </w:pPr>
            <w:r>
              <w:rPr>
                <w:lang w:eastAsia="ja-JP"/>
              </w:rPr>
              <w:t>Option 2: Remove cell phase error from option 1</w:t>
            </w:r>
          </w:p>
          <w:p>
            <w:pPr>
              <w:pStyle w:val="29"/>
              <w:numPr>
                <w:ilvl w:val="1"/>
                <w:numId w:val="5"/>
              </w:numPr>
              <w:ind w:firstLineChars="0"/>
              <w:rPr>
                <w:rFonts w:hint="default"/>
                <w:vertAlign w:val="baseline"/>
                <w:lang w:val="en-US" w:eastAsia="zh-CN"/>
              </w:rPr>
            </w:pPr>
            <w:r>
              <w:rPr>
                <w:lang w:eastAsia="ja-JP"/>
              </w:rPr>
              <w:t xml:space="preserve">Other options are not precluded, pending on RAN1 progress. </w:t>
            </w:r>
          </w:p>
        </w:tc>
      </w:tr>
    </w:tbl>
    <w:p>
      <w:pPr>
        <w:pStyle w:val="9"/>
        <w:bidi w:val="0"/>
        <w:rPr>
          <w:rFonts w:hint="default"/>
          <w:lang w:val="en-US" w:eastAsia="zh-CN"/>
        </w:rPr>
      </w:pPr>
      <w:r>
        <w:rPr>
          <w:rFonts w:hint="eastAsia"/>
          <w:lang w:val="en-US" w:eastAsia="zh-CN"/>
        </w:rPr>
        <w:t>Since until right now, no relevant progress achieved in RAN1, so it seems that RAN4 needs to identify the time offset as one of the side condition. We prefer to down-select between Option 1 and Option 2.</w:t>
      </w:r>
    </w:p>
    <w:p>
      <w:pPr>
        <w:pStyle w:val="9"/>
        <w:bidi w:val="0"/>
        <w:rPr>
          <w:rFonts w:hint="default"/>
          <w:lang w:val="en-US" w:eastAsia="zh-CN"/>
        </w:rPr>
      </w:pPr>
      <w:r>
        <w:rPr>
          <w:rFonts w:hint="eastAsia"/>
          <w:lang w:val="en-US" w:eastAsia="zh-CN"/>
        </w:rPr>
        <w:t>Option 2 applies to the intra-cell CLI without cell phase error considered. Option 1 includes the cell phase error so it is available to the inter-cell CLI. Based on our analysis in the 1</w:t>
      </w:r>
      <w:r>
        <w:rPr>
          <w:rFonts w:hint="eastAsia"/>
          <w:vertAlign w:val="superscript"/>
          <w:lang w:val="en-US" w:eastAsia="zh-CN"/>
        </w:rPr>
        <w:t>st</w:t>
      </w:r>
      <w:r>
        <w:rPr>
          <w:rFonts w:hint="eastAsia"/>
          <w:lang w:val="en-US" w:eastAsia="zh-CN"/>
        </w:rPr>
        <w:t xml:space="preserve"> issue, neither intra-cell nor inter-cell CLI measurement could be excluded until now, so we prefer Option 1 which accomodates both intra-cell and inter-cell CLI measurements.</w:t>
      </w:r>
    </w:p>
    <w:p>
      <w:pPr>
        <w:pStyle w:val="9"/>
        <w:bidi w:val="0"/>
        <w:rPr>
          <w:rFonts w:hint="eastAsia"/>
          <w:b/>
          <w:bCs/>
          <w:lang w:val="en-US" w:eastAsia="zh-CN"/>
        </w:rPr>
      </w:pPr>
      <w:r>
        <w:rPr>
          <w:rFonts w:hint="eastAsia"/>
          <w:b/>
          <w:bCs/>
          <w:lang w:val="en-US" w:eastAsia="zh-CN"/>
        </w:rPr>
        <w:t>Proposal 4: For the side condition of time offset, reusing R16 CLI SRS RSRP assumption to accomodate both intra-cell and inter-cell CLI measurements for Method#2. No need to identify time offset for Method#1 and #3.</w:t>
      </w:r>
    </w:p>
    <w:p>
      <w:pPr>
        <w:pStyle w:val="9"/>
        <w:bidi w:val="0"/>
        <w:rPr>
          <w:rFonts w:hint="eastAsia"/>
          <w:lang w:val="en-US" w:eastAsia="zh-CN"/>
        </w:rPr>
      </w:pPr>
      <w:r>
        <w:rPr>
          <w:rFonts w:hint="eastAsia"/>
          <w:lang w:val="en-US" w:eastAsia="zh-CN"/>
        </w:rPr>
        <w:t>For the side condition of SRS Es/Iot, similar as above, only need to define this side condition for Method#2. When we identify the side condition of SRS Es/Iot, we should jointly consider several points: 1) The probable distance between the aggressor UE and victim UE; 2) The measurement accuracy with selected measurement samples and possible time offset. So the exact value of SRS Es/Iot could be determined according to the evaluation results.</w:t>
      </w:r>
    </w:p>
    <w:p>
      <w:pPr>
        <w:pStyle w:val="9"/>
        <w:bidi w:val="0"/>
        <w:rPr>
          <w:rFonts w:hint="default"/>
          <w:b/>
          <w:bCs/>
          <w:lang w:val="en-US" w:eastAsia="zh-CN"/>
        </w:rPr>
      </w:pPr>
      <w:r>
        <w:rPr>
          <w:rFonts w:hint="eastAsia"/>
          <w:b/>
          <w:bCs/>
          <w:lang w:val="en-US" w:eastAsia="zh-CN"/>
        </w:rPr>
        <w:t>Proposal 5: Determine the side condition of SRS Es/Iot for Method#2 according to the evaluation results. Not need this side condition in Method#1 and #3.</w:t>
      </w:r>
    </w:p>
    <w:p>
      <w:pPr>
        <w:pStyle w:val="9"/>
        <w:bidi w:val="0"/>
        <w:rPr>
          <w:rFonts w:hint="eastAsia"/>
          <w:lang w:val="en-US" w:eastAsia="zh-CN"/>
        </w:rPr>
      </w:pPr>
      <w:r>
        <w:rPr>
          <w:rFonts w:hint="eastAsia"/>
          <w:lang w:val="en-US" w:eastAsia="zh-CN"/>
        </w:rPr>
        <w:t>Regarding the side condition of minimum RSRP, which is relevant to the receiver REFSENS. So for all Method#1, 2, 3, directly reuse the value identified in R16 CLI measurements.</w:t>
      </w:r>
      <w:r>
        <w:rPr>
          <w:rFonts w:hint="eastAsia"/>
          <w:lang w:val="en-US" w:eastAsia="zh-CN"/>
        </w:rPr>
        <w:br w:type="textWrapping"/>
      </w:r>
      <w:r>
        <w:rPr>
          <w:rFonts w:hint="eastAsia"/>
          <w:lang w:val="en-US" w:eastAsia="zh-CN"/>
        </w:rPr>
        <w:t xml:space="preserve">For the side condition of maximum RSRP, which is only needed for Method#2. The exact value is determined by the SRS Tx power at aggressor UE, the antenna gain and the pathloss etc. So whether reuse the value in R16 SRS-RSRP CLI, depending on whether these factors changed. </w:t>
      </w:r>
    </w:p>
    <w:p>
      <w:pPr>
        <w:pStyle w:val="9"/>
        <w:bidi w:val="0"/>
        <w:rPr>
          <w:rFonts w:hint="eastAsia"/>
          <w:b/>
          <w:bCs/>
          <w:lang w:val="en-US" w:eastAsia="zh-CN"/>
        </w:rPr>
      </w:pPr>
      <w:r>
        <w:rPr>
          <w:rFonts w:hint="eastAsia"/>
          <w:b/>
          <w:bCs/>
          <w:lang w:val="en-US" w:eastAsia="zh-CN"/>
        </w:rPr>
        <w:t>Proposal 6: For the side condition of minimum RSRP, reuse the value in R16 CLI measurements.</w:t>
      </w:r>
    </w:p>
    <w:p>
      <w:pPr>
        <w:pStyle w:val="9"/>
        <w:bidi w:val="0"/>
        <w:rPr>
          <w:rFonts w:hint="eastAsia"/>
          <w:b/>
          <w:bCs/>
          <w:lang w:val="en-US" w:eastAsia="zh-CN"/>
        </w:rPr>
      </w:pPr>
      <w:r>
        <w:rPr>
          <w:rFonts w:hint="eastAsia"/>
          <w:b/>
          <w:bCs/>
          <w:lang w:val="en-US" w:eastAsia="zh-CN"/>
        </w:rPr>
        <w:t>Proposal 7: For the side condition of maximum RSRP, whether reusing the value in R16 SRS-RSRP CLI measurement, depend on whether the assumptions on SRS Tx power, antenna gain and pathloss changed or not.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Accuracy requirements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After the requirements of measurement period identified, then RAN4 can determine the accuracy requirements. Since the R19 UE-to-UE CLI is no longer L3 measurement, so the legacy UE-to-UE CLI accuracy requirements can not be reused directly. The exact accuracy can be determined based on the evaluation results.</w:t>
      </w:r>
    </w:p>
    <w:p>
      <w:pPr>
        <w:pStyle w:val="9"/>
        <w:bidi w:val="0"/>
        <w:rPr>
          <w:rFonts w:hint="default"/>
          <w:b/>
          <w:bCs/>
          <w:lang w:val="en-US" w:eastAsia="zh-CN"/>
        </w:rPr>
      </w:pPr>
      <w:r>
        <w:rPr>
          <w:rFonts w:hint="eastAsia"/>
          <w:b/>
          <w:bCs/>
          <w:lang w:val="en-US" w:eastAsia="zh-CN"/>
        </w:rPr>
        <w:t>Proposal 8: The R19 UE-to-UE CLI is L1 measurement, instead of L3 measurement, so the legacy UE-to-UE CLI accuracy requirements can not be reused directly. Determining the accuracy requirements based on the evaluation results.</w:t>
      </w:r>
    </w:p>
    <w:p>
      <w:pPr>
        <w:pStyle w:val="3"/>
        <w:numPr>
          <w:ilvl w:val="0"/>
          <w:numId w:val="0"/>
        </w:numPr>
        <w:bidi w:val="0"/>
        <w:ind w:leftChars="0"/>
        <w:rPr>
          <w:rFonts w:hint="eastAsia"/>
          <w:lang w:val="en-US" w:eastAsia="zh-CN"/>
        </w:rPr>
      </w:pPr>
      <w:r>
        <w:rPr>
          <w:rFonts w:hint="eastAsia"/>
          <w:lang w:val="en-US" w:eastAsia="zh-CN"/>
        </w:rPr>
        <w:t>2.3 SBFD operation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RAN1 developed the discussion on SBFD resource configuration, collision handling and Tx/Rx/Measurement procedure and some progress achieved. Based on these details on SBFD operation, the impact on RRM should be identified by RAN4.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Before diving into the RAN4 aspects, the basic SBFD resource configuration should be noticed.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 xml:space="preserve">The SBFD resource are semi-statically configured including frequency and time domain. In time domain, </w:t>
      </w:r>
      <w:r>
        <w:rPr>
          <w:rFonts w:hint="eastAsia" w:eastAsiaTheme="minorEastAsia"/>
          <w:lang w:val="en-US" w:eastAsia="zh-CN"/>
        </w:rPr>
        <w:t>some</w:t>
      </w:r>
      <w:r>
        <w:rPr>
          <w:rFonts w:eastAsiaTheme="minorEastAsia"/>
          <w:lang w:val="en-US" w:eastAsia="zh-CN"/>
        </w:rPr>
        <w:t xml:space="preserve"> </w:t>
      </w:r>
      <w:r>
        <w:rPr>
          <w:rFonts w:hint="eastAsia" w:eastAsiaTheme="minorEastAsia"/>
          <w:lang w:val="en-US" w:eastAsia="zh-CN"/>
        </w:rPr>
        <w:t>consecutive DL</w:t>
      </w:r>
      <w:r>
        <w:rPr>
          <w:rFonts w:eastAsiaTheme="minorEastAsia"/>
          <w:lang w:val="en-US" w:eastAsia="zh-CN"/>
        </w:rPr>
        <w:t xml:space="preserve"> </w:t>
      </w:r>
      <w:r>
        <w:rPr>
          <w:rFonts w:hint="eastAsia" w:eastAsiaTheme="minorEastAsia"/>
          <w:lang w:val="en-US" w:eastAsia="zh-CN"/>
        </w:rPr>
        <w:t>and</w:t>
      </w:r>
      <w:r>
        <w:rPr>
          <w:rFonts w:eastAsiaTheme="minorEastAsia"/>
          <w:lang w:val="en-US" w:eastAsia="zh-CN"/>
        </w:rPr>
        <w:t xml:space="preserve"> </w:t>
      </w:r>
      <w:r>
        <w:rPr>
          <w:rFonts w:hint="eastAsia" w:eastAsiaTheme="minorEastAsia"/>
          <w:lang w:val="en-US" w:eastAsia="zh-CN"/>
        </w:rPr>
        <w:t>flexible</w:t>
      </w:r>
      <w:r>
        <w:rPr>
          <w:rFonts w:eastAsiaTheme="minorEastAsia"/>
          <w:lang w:val="en-US" w:eastAsia="zh-CN"/>
        </w:rPr>
        <w:t xml:space="preserve"> </w:t>
      </w:r>
      <w:r>
        <w:rPr>
          <w:rFonts w:hint="eastAsia" w:eastAsiaTheme="minorEastAsia"/>
          <w:lang w:val="en-US" w:eastAsia="zh-CN"/>
        </w:rPr>
        <w:t>symbols</w:t>
      </w:r>
      <w:r>
        <w:rPr>
          <w:rFonts w:eastAsiaTheme="minorEastAsia"/>
          <w:lang w:val="en-US" w:eastAsia="zh-CN"/>
        </w:rPr>
        <w:t xml:space="preserve"> </w:t>
      </w:r>
      <w:r>
        <w:rPr>
          <w:rFonts w:hint="eastAsia" w:eastAsiaTheme="minorEastAsia"/>
          <w:lang w:val="en-US" w:eastAsia="zh-CN"/>
        </w:rPr>
        <w:t xml:space="preserve">in one or multiple consecutive slots </w:t>
      </w:r>
      <w:r>
        <w:rPr>
          <w:rFonts w:eastAsiaTheme="minorEastAsia"/>
          <w:lang w:val="en-US" w:eastAsia="zh-CN"/>
        </w:rPr>
        <w:t>can be configured as SBFD symbols</w:t>
      </w:r>
      <w:r>
        <w:rPr>
          <w:rFonts w:hint="eastAsia" w:eastAsiaTheme="minorEastAsia"/>
          <w:lang w:val="en-US" w:eastAsia="zh-CN"/>
        </w:rPr>
        <w:t>, with the periodicity same as TDD-UL-DL pattern periodicity. In frequency domain, 1 or 2 DL subbands and 1 UL subbands are allowed. All SBFD symbols share the same DL/UL subband configuration. Based on such SBFD resource configuration, full duplex operation is assumed from NW perspective, while half duplex operation is assumed from UE perspective.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Besides, some types of collision between the semi-static configuration and dynamic scheduling were recognized in RAN1. The already approved aproaches are generally reusing the existing collision handling mechanism in NR for F symbols, i.e. the dynamic scheduling prioritize semi-static configuration. But no specific consideration for RRM measurement. So we need identify the impact on RRM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Requirements for SSB based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In last meeting, it was approved that the existing requirements are reused for SSB based serving cell measurement. The reason behind lies in that the SSB is prioritized over semi-statically configured UL transmission and dynamically scheduled UL transmission. But similar as in legacy, how to handle the potential overlapping between neighbour cell SSB and the UL transmission, which is not touched by RAN1.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Actually the scheduling restriction and MG could handle such collision. For the neighbour cell measurement without MG, the UL transmission was deprioritized by the RRM measurements in TDD. It is straightforward to reuse the measurement restriction to handle the collision between the neighbour cell measurements and UL transmission, including both semi-statically configured UL transmission and dynamically scheduled UL transmission. For the neighbour cell measurement with MG, since the measurements were performed within MG, due to the interruption caused by MG, so it is impossible to collide between neighbour cell measurements and UL transmission. While regarding the collision between MG and UL transmission, considering both MG and SBFD symbols are configured semi-statically, so from NW perspective, it is meaningless to configure MG and SBFD in the same symbol. However the MG pattern and periodicity are pre-defined in the unit of ms, not relevant to TDD-UL-DL pattern periodicity, the periodicity of SBFD is same as the TDD-UL-DL pattern periodicity, therefore the collision between MG and SBFD symbols may happen. Since interruption caused by MG, so no matter SBFD symbol or non-SBFD symbol overlapped with the interruption caused by MG, the RRM measurements with MG is prioritized than the data transmission.</w:t>
      </w:r>
    </w:p>
    <w:p>
      <w:pPr>
        <w:pStyle w:val="9"/>
        <w:bidi w:val="0"/>
        <w:rPr>
          <w:rFonts w:hint="default" w:cs="Arial"/>
          <w:lang w:val="en-US" w:eastAsia="zh-CN"/>
        </w:rPr>
      </w:pPr>
      <w:r>
        <w:rPr>
          <w:rFonts w:hint="eastAsia"/>
          <w:b/>
          <w:bCs/>
          <w:lang w:val="en-US" w:eastAsia="zh-CN"/>
        </w:rPr>
        <w:t>Proposal 9: For the neighbour cell SSB based measurement, including both measurement with MG and measurement without MG, reusing the existing measurement restriction and interruption requirements to handle the collision between measurements and UL transmission in 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Requirements for CSI-RS based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The CSI-RS based RRM measurement is performed based on the periodic CSI-RS configured via </w:t>
      </w:r>
      <w:r>
        <w:rPr>
          <w:rFonts w:hint="eastAsia" w:cs="Arial"/>
          <w:i/>
          <w:iCs/>
          <w:lang w:val="en-US" w:eastAsia="zh-CN"/>
        </w:rPr>
        <w:t>csi-rs-ResourceConfigMobility</w:t>
      </w:r>
      <w:r>
        <w:rPr>
          <w:rFonts w:hint="eastAsia" w:cs="Arial"/>
          <w:lang w:val="en-US" w:eastAsia="zh-CN"/>
        </w:rPr>
        <w:t>. According to RAN1 progress as below, for the collision between semi-statically configured DL reception and dynamically scheduled UL transmission, existing collision handling mechanism in NR for Flexible symbol is reused, i.e. the dynamically scheduled UL transmission could cancle the semi-statically configured DL reception. Following this solution, the CSI-RS based RRM measurement would be impacted by the overlapping UL transmission in SBFD symbols.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beforeAutospacing="0" w:afterAutospacing="0"/>
              <w:jc w:val="left"/>
              <w:textAlignment w:val="auto"/>
              <w:rPr>
                <w:rFonts w:hint="default" w:eastAsia="宋体"/>
                <w:b/>
                <w:szCs w:val="20"/>
                <w:highlight w:val="green"/>
                <w:lang w:val="en-US" w:eastAsia="zh-CN"/>
              </w:rPr>
            </w:pPr>
            <w:r>
              <w:rPr>
                <w:rFonts w:eastAsia="Malgun Gothic"/>
                <w:b/>
                <w:szCs w:val="20"/>
                <w:highlight w:val="green"/>
              </w:rPr>
              <w:t>Agreement:</w:t>
            </w:r>
            <w:r>
              <w:rPr>
                <w:rFonts w:hint="eastAsia" w:eastAsia="宋体"/>
                <w:b/>
                <w:szCs w:val="20"/>
                <w:highlight w:val="green"/>
                <w:lang w:val="en-US" w:eastAsia="zh-CN"/>
              </w:rPr>
              <w:t>(RAN1#116)</w:t>
            </w:r>
          </w:p>
          <w:p>
            <w:pPr>
              <w:keepNext w:val="0"/>
              <w:keepLines w:val="0"/>
              <w:pageBreakBefore w:val="0"/>
              <w:widowControl w:val="0"/>
              <w:kinsoku/>
              <w:wordWrap/>
              <w:overflowPunct/>
              <w:topLinePunct w:val="0"/>
              <w:autoSpaceDE/>
              <w:autoSpaceDN/>
              <w:bidi w:val="0"/>
              <w:adjustRightInd/>
              <w:snapToGrid/>
              <w:spacing w:beforeAutospacing="0" w:afterAutospacing="0"/>
              <w:contextualSpacing/>
              <w:jc w:val="left"/>
              <w:textAlignment w:val="auto"/>
              <w:rPr>
                <w:szCs w:val="20"/>
              </w:rPr>
            </w:pPr>
            <w:r>
              <w:rPr>
                <w:rFonts w:eastAsia="Malgun Gothic"/>
                <w:szCs w:val="20"/>
              </w:rPr>
              <w:t xml:space="preserve">For SBFD-aware UEs, collisions between DL reception in DL subband(s) and UL transmission in UL subband </w:t>
            </w:r>
            <w:r>
              <w:rPr>
                <w:rFonts w:eastAsia="Malgun Gothic"/>
                <w:b/>
                <w:bCs/>
                <w:szCs w:val="20"/>
              </w:rPr>
              <w:t>in a SBFD symbol</w:t>
            </w:r>
            <w:r>
              <w:rPr>
                <w:b/>
                <w:bCs/>
                <w:szCs w:val="20"/>
              </w:rPr>
              <w:t xml:space="preserve"> may</w:t>
            </w:r>
            <w:r>
              <w:rPr>
                <w:szCs w:val="20"/>
              </w:rPr>
              <w:t xml:space="preserve"> be addressed or alleviated with proper scheduling.</w:t>
            </w:r>
            <w:r>
              <w:rPr>
                <w:rFonts w:eastAsia="Malgun Gothic"/>
                <w:szCs w:val="20"/>
              </w:rPr>
              <w:t xml:space="preserve"> </w:t>
            </w:r>
            <w:r>
              <w:rPr>
                <w:szCs w:val="20"/>
              </w:rPr>
              <w:t>The following cases of potential collisions</w:t>
            </w:r>
            <w:r>
              <w:rPr>
                <w:rFonts w:eastAsia="Malgun Gothic"/>
                <w:szCs w:val="20"/>
              </w:rPr>
              <w:t>,</w:t>
            </w:r>
            <w:r>
              <w:rPr>
                <w:rFonts w:eastAsia="Malgun Gothic"/>
                <w:szCs w:val="20"/>
                <w:highlight w:val="none"/>
              </w:rPr>
              <w:t xml:space="preserve"> [if link direction indication is not supported or provided],</w:t>
            </w:r>
            <w:r>
              <w:rPr>
                <w:szCs w:val="20"/>
              </w:rPr>
              <w:t xml:space="preserve"> can be further studied to see if any change to the current specs is necessary:</w:t>
            </w:r>
          </w:p>
          <w:p>
            <w:pPr>
              <w:keepNext w:val="0"/>
              <w:keepLines w:val="0"/>
              <w:pageBreakBefore w:val="0"/>
              <w:widowControl w:val="0"/>
              <w:numPr>
                <w:ilvl w:val="0"/>
                <w:numId w:val="15"/>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Case 1: Dynamically scheduled DL reception vs. semi-statically configured UL transmission</w:t>
            </w:r>
          </w:p>
          <w:p>
            <w:pPr>
              <w:keepNext w:val="0"/>
              <w:keepLines w:val="0"/>
              <w:pageBreakBefore w:val="0"/>
              <w:widowControl w:val="0"/>
              <w:numPr>
                <w:ilvl w:val="1"/>
                <w:numId w:val="15"/>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e.g., dynamic PDSCH or CSI-RS collides with configured SRS, PUCCH, or CG PUSCH</w:t>
            </w:r>
          </w:p>
          <w:p>
            <w:pPr>
              <w:keepNext w:val="0"/>
              <w:keepLines w:val="0"/>
              <w:pageBreakBefore w:val="0"/>
              <w:widowControl w:val="0"/>
              <w:numPr>
                <w:ilvl w:val="0"/>
                <w:numId w:val="15"/>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highlight w:val="cyan"/>
              </w:rPr>
            </w:pPr>
            <w:r>
              <w:rPr>
                <w:rFonts w:eastAsia="Malgun Gothic"/>
                <w:szCs w:val="20"/>
                <w:highlight w:val="cyan"/>
              </w:rPr>
              <w:t>Case 2: Semi-statically configured DL reception vs. dynamically scheduled UL transmission</w:t>
            </w:r>
          </w:p>
          <w:p>
            <w:pPr>
              <w:keepNext w:val="0"/>
              <w:keepLines w:val="0"/>
              <w:pageBreakBefore w:val="0"/>
              <w:widowControl w:val="0"/>
              <w:numPr>
                <w:ilvl w:val="1"/>
                <w:numId w:val="15"/>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e.g., PDCCH or SPS PDSCH collides with dynamic PUSCH or PUCCH</w:t>
            </w:r>
          </w:p>
          <w:p>
            <w:pPr>
              <w:keepNext w:val="0"/>
              <w:keepLines w:val="0"/>
              <w:pageBreakBefore w:val="0"/>
              <w:widowControl w:val="0"/>
              <w:numPr>
                <w:ilvl w:val="0"/>
                <w:numId w:val="15"/>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 xml:space="preserve">Case 3: Semi-statically configured DL reception vs. semi-statically configured UL transmission  </w:t>
            </w:r>
          </w:p>
          <w:p>
            <w:pPr>
              <w:keepNext w:val="0"/>
              <w:keepLines w:val="0"/>
              <w:pageBreakBefore w:val="0"/>
              <w:widowControl w:val="0"/>
              <w:numPr>
                <w:ilvl w:val="0"/>
                <w:numId w:val="15"/>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Case 4: Dynamically scheduled DL reception vs. dynamic scheduled UL transmission</w:t>
            </w:r>
          </w:p>
          <w:p>
            <w:pPr>
              <w:keepNext w:val="0"/>
              <w:keepLines w:val="0"/>
              <w:pageBreakBefore w:val="0"/>
              <w:widowControl w:val="0"/>
              <w:numPr>
                <w:ilvl w:val="0"/>
                <w:numId w:val="15"/>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Case 5: SSB vs. dynamically scheduled or configured UL transmission</w:t>
            </w:r>
          </w:p>
          <w:p>
            <w:pPr>
              <w:keepNext w:val="0"/>
              <w:keepLines w:val="0"/>
              <w:pageBreakBefore w:val="0"/>
              <w:widowControl w:val="0"/>
              <w:numPr>
                <w:ilvl w:val="1"/>
                <w:numId w:val="15"/>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e.g., PUSCH, PUCCH, PRACH, SRS</w:t>
            </w:r>
          </w:p>
          <w:p>
            <w:pPr>
              <w:keepNext w:val="0"/>
              <w:keepLines w:val="0"/>
              <w:pageBreakBefore w:val="0"/>
              <w:widowControl w:val="0"/>
              <w:numPr>
                <w:ilvl w:val="0"/>
                <w:numId w:val="15"/>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Case 6: Dynamic or semi-static DL vs. valid RO</w:t>
            </w:r>
          </w:p>
          <w:p>
            <w:pPr>
              <w:keepNext w:val="0"/>
              <w:keepLines w:val="0"/>
              <w:pageBreakBefore w:val="0"/>
              <w:widowControl w:val="0"/>
              <w:kinsoku/>
              <w:wordWrap/>
              <w:overflowPunct/>
              <w:topLinePunct w:val="0"/>
              <w:autoSpaceDE/>
              <w:autoSpaceDN/>
              <w:bidi w:val="0"/>
              <w:adjustRightInd/>
              <w:snapToGrid/>
              <w:spacing w:beforeAutospacing="0" w:afterAutospacing="0"/>
              <w:jc w:val="left"/>
              <w:textAlignment w:val="auto"/>
              <w:rPr>
                <w:rFonts w:hint="eastAsia" w:cs="Times New Roman"/>
                <w:b/>
                <w:kern w:val="44"/>
                <w:sz w:val="21"/>
                <w:szCs w:val="21"/>
                <w:lang w:val="en-US" w:eastAsia="zh-CN" w:bidi="ar-SA"/>
              </w:rPr>
            </w:pPr>
            <w:r>
              <w:rPr>
                <w:rFonts w:eastAsia="Malgun Gothic"/>
                <w:bCs/>
                <w:szCs w:val="20"/>
              </w:rPr>
              <w:t xml:space="preserve">Note: In addition to collision between UL transmission and DL reception in the same </w:t>
            </w:r>
            <w:r>
              <w:rPr>
                <w:rFonts w:hint="eastAsia" w:eastAsia="Malgun Gothic"/>
                <w:bCs/>
                <w:szCs w:val="20"/>
              </w:rPr>
              <w:t>SBFD</w:t>
            </w:r>
            <w:r>
              <w:rPr>
                <w:rFonts w:eastAsia="Malgun Gothic"/>
                <w:bCs/>
                <w:szCs w:val="20"/>
              </w:rPr>
              <w:t xml:space="preserve"> symbol(s), collision between UL transmission and DL reception in different symbol(s) due to lack of sufficient transition time between Tx/Rx at UE side is also included.</w:t>
            </w:r>
          </w:p>
          <w:p>
            <w:pPr>
              <w:widowControl w:val="0"/>
              <w:jc w:val="both"/>
              <w:rPr>
                <w:rFonts w:hint="default" w:eastAsia="宋体"/>
                <w:b/>
                <w:sz w:val="24"/>
                <w:highlight w:val="green"/>
                <w:lang w:val="en-US" w:eastAsia="zh-CN"/>
              </w:rPr>
            </w:pPr>
            <w:r>
              <w:rPr>
                <w:rFonts w:eastAsia="Malgun Gothic"/>
                <w:b/>
                <w:highlight w:val="green"/>
              </w:rPr>
              <w:t>Agreement</w:t>
            </w:r>
            <w:r>
              <w:rPr>
                <w:rFonts w:hint="eastAsia" w:eastAsia="宋体"/>
                <w:b/>
                <w:highlight w:val="green"/>
                <w:lang w:val="en-US" w:eastAsia="zh-CN"/>
              </w:rPr>
              <w:t>:(RAN1#116bis)</w:t>
            </w:r>
          </w:p>
          <w:p>
            <w:pPr>
              <w:pStyle w:val="57"/>
              <w:widowControl w:val="0"/>
              <w:ind w:left="0" w:leftChars="0"/>
              <w:jc w:val="both"/>
              <w:rPr>
                <w:rFonts w:ascii="Arial" w:hAnsi="Arial" w:eastAsia="Malgun Gothic" w:cs="Times New Roman"/>
                <w:szCs w:val="20"/>
                <w:lang w:val="en-US" w:eastAsia="en-US" w:bidi="ar-SA"/>
              </w:rPr>
            </w:pPr>
            <w:r>
              <w:rPr>
                <w:rFonts w:hint="eastAsia" w:ascii="Arial" w:hAnsi="Arial" w:eastAsia="Malgun Gothic" w:cs="Times New Roman"/>
                <w:szCs w:val="20"/>
                <w:lang w:val="en-US" w:eastAsia="en-US" w:bidi="ar-SA"/>
              </w:rPr>
              <w:t>I</w:t>
            </w:r>
            <w:r>
              <w:rPr>
                <w:rFonts w:ascii="Arial" w:hAnsi="Arial" w:eastAsia="Malgun Gothic" w:cs="Times New Roman"/>
                <w:szCs w:val="20"/>
                <w:lang w:val="en-US" w:eastAsia="en-US" w:bidi="ar-SA"/>
              </w:rPr>
              <w:t>f link direction indication is not supported nor provided</w:t>
            </w:r>
            <w:r>
              <w:rPr>
                <w:rFonts w:hint="eastAsia" w:ascii="Arial" w:hAnsi="Arial" w:eastAsia="Malgun Gothic" w:cs="Times New Roman"/>
                <w:szCs w:val="20"/>
                <w:lang w:val="en-US" w:eastAsia="en-US" w:bidi="ar-SA"/>
              </w:rPr>
              <w:t xml:space="preserve"> for a SBFD symbol, f</w:t>
            </w:r>
            <w:r>
              <w:rPr>
                <w:rFonts w:ascii="Arial" w:hAnsi="Arial" w:eastAsia="Malgun Gothic" w:cs="Times New Roman"/>
                <w:szCs w:val="20"/>
                <w:lang w:val="en-US" w:eastAsia="en-US" w:bidi="ar-SA"/>
              </w:rPr>
              <w:t xml:space="preserve">or collision </w:t>
            </w:r>
            <w:r>
              <w:rPr>
                <w:rFonts w:ascii="Arial" w:hAnsi="Arial" w:eastAsia="Malgun Gothic" w:cs="Times New Roman"/>
                <w:szCs w:val="20"/>
                <w:highlight w:val="cyan"/>
                <w:lang w:val="en-US" w:eastAsia="en-US" w:bidi="ar-SA"/>
              </w:rPr>
              <w:t>Case 2 (semi-statically configured DL reception vs. dynamically scheduled UL transmission)</w:t>
            </w:r>
            <w:r>
              <w:rPr>
                <w:rFonts w:ascii="Arial" w:hAnsi="Arial" w:eastAsia="Malgun Gothic" w:cs="Times New Roman"/>
                <w:szCs w:val="20"/>
                <w:lang w:val="en-US" w:eastAsia="en-US" w:bidi="ar-SA"/>
              </w:rPr>
              <w:t xml:space="preserve"> in </w:t>
            </w:r>
            <w:r>
              <w:rPr>
                <w:rFonts w:hint="eastAsia" w:ascii="Arial" w:hAnsi="Arial" w:eastAsia="Malgun Gothic" w:cs="Times New Roman"/>
                <w:szCs w:val="20"/>
                <w:lang w:val="en-US" w:eastAsia="en-US" w:bidi="ar-SA"/>
              </w:rPr>
              <w:t>the</w:t>
            </w:r>
            <w:r>
              <w:rPr>
                <w:rFonts w:ascii="Arial" w:hAnsi="Arial" w:eastAsia="Malgun Gothic" w:cs="Times New Roman"/>
                <w:szCs w:val="20"/>
                <w:lang w:val="en-US" w:eastAsia="en-US" w:bidi="ar-SA"/>
              </w:rPr>
              <w:t xml:space="preserve"> SBFD symbol for SBFD-aware UEs, reuse the existing collision handling principles in NR for operation on flexible symbols on a single carrier in unpaired spectrum, i.e. UE does not receive DL channel/signal.</w:t>
            </w:r>
          </w:p>
          <w:p>
            <w:pPr>
              <w:widowControl w:val="0"/>
              <w:numPr>
                <w:ilvl w:val="0"/>
                <w:numId w:val="16"/>
              </w:numPr>
              <w:jc w:val="both"/>
              <w:rPr>
                <w:rFonts w:eastAsia="Malgun Gothic"/>
              </w:rPr>
            </w:pPr>
            <w:r>
              <w:rPr>
                <w:rFonts w:hint="eastAsia" w:eastAsia="Malgun Gothic" w:cs="Times"/>
              </w:rPr>
              <w:t xml:space="preserve">The above does not imply </w:t>
            </w:r>
            <w:r>
              <w:rPr>
                <w:rFonts w:eastAsia="Malgun Gothic"/>
              </w:rPr>
              <w:t>link direction indication is supported</w:t>
            </w:r>
          </w:p>
          <w:p>
            <w:pPr>
              <w:widowControl w:val="0"/>
              <w:numPr>
                <w:ilvl w:val="0"/>
                <w:numId w:val="16"/>
              </w:numPr>
              <w:jc w:val="both"/>
              <w:rPr>
                <w:rFonts w:hint="eastAsia" w:cs="Arial"/>
                <w:vertAlign w:val="baseline"/>
                <w:lang w:val="en-US" w:eastAsia="zh-CN"/>
              </w:rPr>
            </w:pPr>
            <w:r>
              <w:rPr>
                <w:rFonts w:hint="eastAsia" w:eastAsia="Malgun Gothic" w:cs="Times"/>
              </w:rPr>
              <w:t>FFS on dynamically scheduled UL transmiss</w:t>
            </w:r>
            <w:r>
              <w:rPr>
                <w:rFonts w:hint="eastAsia" w:eastAsia="Malgun Gothic" w:cs="Times"/>
                <w:highlight w:val="none"/>
              </w:rPr>
              <w:t>ion with repetition</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Observation 5: According to RAN1 progress, the CSI-RS based RRM measurement would be impacted by the overlapping dynamically scheduled UL transmission in 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When some measurement occasions are cancled by UL transmission in SBFD symbols, to guarantee the measurement performance, applying additional scaling factor to extend the CSI-RS based measurements could be considered.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10: Applying additional scaling factor to guarantee the performance of CSI-RS based measurements provided some measurement occasions are cancled by UL transmission in 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cs="Arial"/>
          <w:lang w:val="en-US" w:eastAsia="zh-CN"/>
        </w:rPr>
        <w:t>Furthermore, it seems that the existing scheduling restriction for TDD is not applicable to the SBFD symbols between the CSI-RS based RRM measurements and UL transmission any more. So some new solution of scheudling restriction for TDD could be considered.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11: The existing scheduling restriction for CSI-RS based measurement in TDD is not applicable to SBFD symbols any more, need to consider new solution.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Requirements for scheduling restriction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Actually the scheduling restriction has been touched in the analysis on the above two issues. To summarize, RAN4 needs to identify the scheduling restriction on the SBFD symbols. For SSB based RRM measurement, it seems directly reusing the existing scheduling restriction is fine. While for CSI-RS based RRM measurement, some updated scheduling restriction is needed compared with legacy schduling restriction.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 xml:space="preserve">Proposal 12: RAN4 needs to identify the scheduling restriction on the SBFD symbols for SSB based RRM measurements and CSI-RS based RRM measurements respectively. For SSB based, reusing the existing scheduling restriction is preferred. For CSI-RS based, some updated solution is needed.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Requirements for RACH</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Based on RAN1 progress, RACH is allowed in SBFD symbols, </w:t>
      </w:r>
      <w:r>
        <w:rPr>
          <w:rFonts w:eastAsiaTheme="minorEastAsia"/>
          <w:lang w:val="en-US" w:eastAsia="zh-CN"/>
        </w:rPr>
        <w:t>new RO configurations and resource mapping</w:t>
      </w:r>
      <w:r>
        <w:rPr>
          <w:rFonts w:hint="eastAsia" w:eastAsiaTheme="minorEastAsia"/>
          <w:lang w:val="en-US" w:eastAsia="zh-CN"/>
        </w:rPr>
        <w:t xml:space="preserve"> were touched by the SBFD based RACH</w:t>
      </w:r>
      <w:r>
        <w:rPr>
          <w:rFonts w:hint="eastAsia" w:cs="Arial"/>
          <w:lang w:val="en-US" w:eastAsia="zh-CN"/>
        </w:rPr>
        <w:t>. Since the RACH relevant requirements are generic, so we can not see any impact on RACH requirements to support the RACH in 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b w:val="0"/>
          <w:bCs w:val="0"/>
          <w:u w:val="single"/>
          <w:lang w:val="en-US" w:eastAsia="zh-CN"/>
        </w:rPr>
      </w:pPr>
      <w:r>
        <w:rPr>
          <w:rFonts w:hint="eastAsia"/>
          <w:b/>
          <w:bCs/>
          <w:lang w:val="en-US" w:eastAsia="zh-CN"/>
        </w:rPr>
        <w:t>Proposal 13: No impact on the RACH requirements.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b/>
          <w:bCs/>
          <w:lang w:val="en-US" w:eastAsia="zh-CN"/>
        </w:rPr>
        <w:t xml:space="preserve">Observation 1: The R19 UE-to-UE CLI measurement is determined as L1 measurement, both SRS-RSRP measurement and CLI-RSSI measurement are allowed, the resource can be configured as periodic, semi-persistent, or aperiodic resource. At least aperiodic reporting supported. </w:t>
      </w:r>
    </w:p>
    <w:p>
      <w:pPr>
        <w:pStyle w:val="9"/>
        <w:bidi w:val="0"/>
        <w:rPr>
          <w:rFonts w:hint="default"/>
          <w:b/>
          <w:bCs/>
          <w:lang w:val="en-US" w:eastAsia="zh-CN"/>
        </w:rPr>
      </w:pPr>
      <w:r>
        <w:rPr>
          <w:rFonts w:hint="eastAsia"/>
          <w:b/>
          <w:bCs/>
          <w:lang w:val="en-US" w:eastAsia="zh-CN"/>
        </w:rPr>
        <w:t>Observation 2: The QCL typeD assumption of the CLI resource is configured or determined by the NW.</w:t>
      </w:r>
    </w:p>
    <w:p>
      <w:pPr>
        <w:pStyle w:val="9"/>
        <w:bidi w:val="0"/>
        <w:rPr>
          <w:rFonts w:hint="eastAsia" w:cs="Arial"/>
          <w:lang w:val="en-US" w:eastAsia="zh-CN"/>
        </w:rPr>
      </w:pPr>
      <w:r>
        <w:rPr>
          <w:rFonts w:hint="eastAsia"/>
          <w:b/>
          <w:bCs/>
          <w:lang w:val="en-US" w:eastAsia="zh-CN"/>
        </w:rPr>
        <w:t>Observation 3: For the CLI resource configuration, due to no info exchange between gNBs, both intra-cell and inter-cell CLI resource configuration is up to NW implementation.</w:t>
      </w:r>
    </w:p>
    <w:p>
      <w:pPr>
        <w:pStyle w:val="9"/>
        <w:bidi w:val="0"/>
        <w:rPr>
          <w:rFonts w:hint="default"/>
          <w:b/>
          <w:bCs/>
          <w:lang w:val="en-US" w:eastAsia="zh-CN"/>
        </w:rPr>
      </w:pPr>
      <w:r>
        <w:rPr>
          <w:rFonts w:hint="eastAsia"/>
          <w:b/>
          <w:bCs/>
          <w:lang w:val="en-US" w:eastAsia="zh-CN"/>
        </w:rPr>
        <w:t>Observation 4: Until now, neither of the two possibilities including same SBFD T/F configuration and different SBFD T/F configuration between SBFD cells is excluded.</w:t>
      </w:r>
    </w:p>
    <w:p>
      <w:pPr>
        <w:pStyle w:val="9"/>
        <w:bidi w:val="0"/>
        <w:rPr>
          <w:rFonts w:hint="eastAsia"/>
          <w:b/>
          <w:bCs/>
          <w:lang w:val="en-US" w:eastAsia="zh-CN"/>
        </w:rPr>
      </w:pPr>
      <w:r>
        <w:rPr>
          <w:rFonts w:hint="eastAsia"/>
          <w:b/>
          <w:bCs/>
          <w:lang w:val="en-US" w:eastAsia="zh-CN"/>
        </w:rPr>
        <w:t>Proposal 1: Both intra-cell and inter-cell CLI measurements are considered for UE-to-UE CLI.</w:t>
      </w:r>
    </w:p>
    <w:p>
      <w:pPr>
        <w:pStyle w:val="9"/>
        <w:bidi w:val="0"/>
        <w:rPr>
          <w:rFonts w:hint="eastAsia"/>
          <w:b/>
          <w:bCs/>
          <w:lang w:val="en-US" w:eastAsia="zh-CN"/>
        </w:rPr>
      </w:pPr>
      <w:r>
        <w:rPr>
          <w:rFonts w:hint="eastAsia"/>
          <w:b/>
          <w:bCs/>
          <w:lang w:val="en-US" w:eastAsia="zh-CN"/>
        </w:rPr>
        <w:t>Proposal 2: The measurement period requirements for the three candidate UE-to-UE CLI measurements should be discussed one by one.</w:t>
      </w:r>
    </w:p>
    <w:p>
      <w:pPr>
        <w:pStyle w:val="9"/>
        <w:bidi w:val="0"/>
        <w:rPr>
          <w:rFonts w:hint="default"/>
          <w:b/>
          <w:bCs/>
          <w:lang w:val="en-US" w:eastAsia="zh-CN"/>
        </w:rPr>
      </w:pPr>
      <w:r>
        <w:rPr>
          <w:rFonts w:hint="eastAsia"/>
          <w:b/>
          <w:bCs/>
          <w:lang w:val="en-US" w:eastAsia="zh-CN"/>
        </w:rPr>
        <w:t>Proposal 3: Reuse the simulation assumption for SRS-RSRP in R16 CLI as much as possible, the following parameter setting are suggested:</w:t>
      </w:r>
    </w:p>
    <w:tbl>
      <w:tblPr>
        <w:tblStyle w:val="17"/>
        <w:tblW w:w="10333" w:type="dxa"/>
        <w:jc w:val="center"/>
        <w:tblLayout w:type="autofit"/>
        <w:tblCellMar>
          <w:top w:w="0" w:type="dxa"/>
          <w:left w:w="99" w:type="dxa"/>
          <w:bottom w:w="0" w:type="dxa"/>
          <w:right w:w="99" w:type="dxa"/>
        </w:tblCellMar>
      </w:tblPr>
      <w:tblGrid>
        <w:gridCol w:w="1348"/>
        <w:gridCol w:w="1879"/>
        <w:gridCol w:w="1793"/>
        <w:gridCol w:w="2426"/>
        <w:gridCol w:w="2887"/>
      </w:tblGrid>
      <w:tr>
        <w:tblPrEx>
          <w:tblCellMar>
            <w:top w:w="0" w:type="dxa"/>
            <w:left w:w="99" w:type="dxa"/>
            <w:bottom w:w="0" w:type="dxa"/>
            <w:right w:w="99" w:type="dxa"/>
          </w:tblCellMar>
        </w:tblPrEx>
        <w:trPr>
          <w:trHeight w:val="345" w:hRule="atLeast"/>
          <w:jc w:val="center"/>
        </w:trPr>
        <w:tc>
          <w:tcPr>
            <w:tcW w:w="2977" w:type="dxa"/>
            <w:gridSpan w:val="2"/>
            <w:tcBorders>
              <w:top w:val="single" w:color="auto" w:sz="8" w:space="0"/>
              <w:left w:val="single" w:color="auto" w:sz="8" w:space="0"/>
              <w:bottom w:val="single" w:color="auto" w:sz="8" w:space="0"/>
              <w:right w:val="single" w:color="000000"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Parameters</w:t>
            </w:r>
          </w:p>
        </w:tc>
        <w:tc>
          <w:tcPr>
            <w:tcW w:w="7356" w:type="dxa"/>
            <w:gridSpan w:val="3"/>
            <w:tcBorders>
              <w:top w:val="single" w:color="auto" w:sz="8" w:space="0"/>
              <w:left w:val="nil"/>
              <w:bottom w:val="nil"/>
              <w:right w:val="single" w:color="000000"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 xml:space="preserve">Value </w:t>
            </w:r>
          </w:p>
        </w:tc>
      </w:tr>
      <w:tr>
        <w:tblPrEx>
          <w:tblCellMar>
            <w:top w:w="0" w:type="dxa"/>
            <w:left w:w="99" w:type="dxa"/>
            <w:bottom w:w="0" w:type="dxa"/>
            <w:right w:w="99" w:type="dxa"/>
          </w:tblCellMar>
        </w:tblPrEx>
        <w:trPr>
          <w:trHeight w:val="585" w:hRule="atLeast"/>
          <w:jc w:val="center"/>
        </w:trPr>
        <w:tc>
          <w:tcPr>
            <w:tcW w:w="2977" w:type="dxa"/>
            <w:gridSpan w:val="2"/>
            <w:tcBorders>
              <w:top w:val="single" w:color="auto" w:sz="8" w:space="0"/>
              <w:left w:val="single" w:color="auto" w:sz="8" w:space="0"/>
              <w:bottom w:val="single" w:color="auto" w:sz="8" w:space="0"/>
              <w:right w:val="single" w:color="auto" w:sz="4" w:space="0"/>
            </w:tcBorders>
            <w:shd w:val="clear" w:color="auto" w:fill="auto"/>
            <w:noWrap w:val="0"/>
            <w:vAlign w:val="center"/>
          </w:tcPr>
          <w:p>
            <w:pPr>
              <w:jc w:val="center"/>
              <w:rPr>
                <w:b/>
                <w:bCs/>
                <w:color w:val="000000"/>
                <w:sz w:val="18"/>
                <w:szCs w:val="18"/>
                <w:lang w:val="en-US" w:eastAsia="ko-KR"/>
              </w:rPr>
            </w:pPr>
          </w:p>
        </w:tc>
        <w:tc>
          <w:tcPr>
            <w:tcW w:w="1827" w:type="dxa"/>
            <w:tcBorders>
              <w:top w:val="single" w:color="auto" w:sz="8" w:space="0"/>
              <w:left w:val="single" w:color="auto" w:sz="8" w:space="0"/>
              <w:bottom w:val="single" w:color="auto" w:sz="8"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UE0 (cell 0)</w:t>
            </w:r>
          </w:p>
          <w:p>
            <w:pPr>
              <w:jc w:val="center"/>
              <w:rPr>
                <w:b/>
                <w:bCs/>
                <w:color w:val="000000"/>
                <w:sz w:val="18"/>
                <w:szCs w:val="18"/>
                <w:lang w:val="en-US" w:eastAsia="ko-KR"/>
              </w:rPr>
            </w:pPr>
            <w:r>
              <w:rPr>
                <w:b/>
                <w:bCs/>
                <w:color w:val="000000"/>
                <w:sz w:val="18"/>
                <w:szCs w:val="18"/>
                <w:lang w:val="en-US" w:eastAsia="ko-KR"/>
              </w:rPr>
              <w:t>[victim UE]</w:t>
            </w:r>
          </w:p>
        </w:tc>
        <w:tc>
          <w:tcPr>
            <w:tcW w:w="2518" w:type="dxa"/>
            <w:tcBorders>
              <w:top w:val="single" w:color="auto" w:sz="8" w:space="0"/>
              <w:left w:val="nil"/>
              <w:bottom w:val="single" w:color="auto" w:sz="8"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UE1 (cell 1)</w:t>
            </w:r>
          </w:p>
          <w:p>
            <w:pPr>
              <w:jc w:val="center"/>
              <w:rPr>
                <w:b/>
                <w:bCs/>
                <w:color w:val="000000"/>
                <w:sz w:val="18"/>
                <w:szCs w:val="18"/>
                <w:lang w:val="en-US" w:eastAsia="ko-KR"/>
              </w:rPr>
            </w:pPr>
            <w:r>
              <w:rPr>
                <w:b/>
                <w:bCs/>
                <w:color w:val="000000"/>
                <w:sz w:val="18"/>
                <w:szCs w:val="18"/>
                <w:lang w:val="en-US" w:eastAsia="ko-KR"/>
              </w:rPr>
              <w:t>[aggressor UE]</w:t>
            </w:r>
          </w:p>
        </w:tc>
        <w:tc>
          <w:tcPr>
            <w:tcW w:w="3011" w:type="dxa"/>
            <w:tcBorders>
              <w:top w:val="single" w:color="auto" w:sz="8" w:space="0"/>
              <w:left w:val="nil"/>
              <w:bottom w:val="single" w:color="auto" w:sz="8"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UE2 (cell 1)</w:t>
            </w:r>
          </w:p>
          <w:p>
            <w:pPr>
              <w:jc w:val="center"/>
              <w:rPr>
                <w:b/>
                <w:bCs/>
                <w:color w:val="000000"/>
                <w:sz w:val="18"/>
                <w:szCs w:val="18"/>
                <w:lang w:val="en-US" w:eastAsia="ko-KR"/>
              </w:rPr>
            </w:pPr>
            <w:r>
              <w:rPr>
                <w:b/>
                <w:bCs/>
                <w:color w:val="000000"/>
                <w:sz w:val="18"/>
                <w:szCs w:val="18"/>
                <w:lang w:val="en-US" w:eastAsia="ko-KR"/>
              </w:rPr>
              <w:t>[aggressor UE]</w:t>
            </w:r>
          </w:p>
        </w:tc>
      </w:tr>
      <w:tr>
        <w:tblPrEx>
          <w:tblCellMar>
            <w:top w:w="0" w:type="dxa"/>
            <w:left w:w="99" w:type="dxa"/>
            <w:bottom w:w="0" w:type="dxa"/>
            <w:right w:w="99" w:type="dxa"/>
          </w:tblCellMar>
        </w:tblPrEx>
        <w:trPr>
          <w:trHeight w:val="330" w:hRule="atLeast"/>
          <w:jc w:val="center"/>
        </w:trPr>
        <w:tc>
          <w:tcPr>
            <w:tcW w:w="2977" w:type="dxa"/>
            <w:gridSpan w:val="2"/>
            <w:tcBorders>
              <w:top w:val="nil"/>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Carrier frequency</w:t>
            </w:r>
          </w:p>
        </w:tc>
        <w:tc>
          <w:tcPr>
            <w:tcW w:w="7356" w:type="dxa"/>
            <w:gridSpan w:val="3"/>
            <w:tcBorders>
              <w:top w:val="nil"/>
              <w:left w:val="single" w:color="auto" w:sz="8" w:space="0"/>
              <w:bottom w:val="single" w:color="auto" w:sz="4" w:space="0"/>
              <w:right w:val="single" w:color="000000"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4GHz for FR1,</w:t>
            </w:r>
            <w:r>
              <w:rPr>
                <w:b/>
                <w:bCs/>
                <w:color w:val="000000"/>
                <w:sz w:val="18"/>
                <w:szCs w:val="18"/>
                <w:lang w:eastAsia="ko-KR"/>
              </w:rPr>
              <w:br w:type="textWrapping"/>
            </w:r>
            <w:r>
              <w:rPr>
                <w:b/>
                <w:bCs/>
                <w:color w:val="000000"/>
                <w:sz w:val="18"/>
                <w:szCs w:val="18"/>
                <w:lang w:eastAsia="ko-KR"/>
              </w:rPr>
              <w:t>30GHz for FR2</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Subcarrier spacing</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15kHz, 30kHz,60kHz for FR1</w:t>
            </w:r>
            <w:r>
              <w:rPr>
                <w:b/>
                <w:bCs/>
                <w:color w:val="000000"/>
                <w:sz w:val="18"/>
                <w:szCs w:val="18"/>
                <w:lang w:val="en-US" w:eastAsia="ko-KR"/>
              </w:rPr>
              <w:br w:type="textWrapping"/>
            </w:r>
            <w:r>
              <w:rPr>
                <w:b/>
                <w:bCs/>
                <w:color w:val="000000"/>
                <w:sz w:val="18"/>
                <w:szCs w:val="18"/>
                <w:lang w:val="en-US" w:eastAsia="ko-KR"/>
              </w:rPr>
              <w:t>60kHz, 120kHz for FR2</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same as UE0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same as UE0</w:t>
            </w:r>
          </w:p>
        </w:tc>
      </w:tr>
      <w:tr>
        <w:tblPrEx>
          <w:tblCellMar>
            <w:top w:w="0" w:type="dxa"/>
            <w:left w:w="99" w:type="dxa"/>
            <w:bottom w:w="0" w:type="dxa"/>
            <w:right w:w="99" w:type="dxa"/>
          </w:tblCellMar>
        </w:tblPrEx>
        <w:trPr>
          <w:trHeight w:val="330" w:hRule="atLeast"/>
          <w:jc w:val="center"/>
        </w:trPr>
        <w:tc>
          <w:tcPr>
            <w:tcW w:w="1238" w:type="dxa"/>
            <w:vMerge w:val="restart"/>
            <w:tcBorders>
              <w:top w:val="nil"/>
              <w:left w:val="single" w:color="auto" w:sz="8" w:space="0"/>
              <w:bottom w:val="single" w:color="000000"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SRS configuration</w:t>
            </w: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Number of port</w:t>
            </w:r>
          </w:p>
        </w:tc>
        <w:tc>
          <w:tcPr>
            <w:tcW w:w="1827" w:type="dxa"/>
            <w:vMerge w:val="restart"/>
            <w:tcBorders>
              <w:top w:val="nil"/>
              <w:left w:val="single" w:color="auto" w:sz="8" w:space="0"/>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N/A</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eastAsia="ko-KR"/>
              </w:rPr>
              <w:t>1</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1</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TransmissionComb</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eastAsia="ko-KR"/>
              </w:rPr>
              <w:t>2</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2</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rFonts w:hint="eastAsia"/>
                <w:b/>
                <w:bCs/>
                <w:color w:val="000000"/>
                <w:sz w:val="18"/>
                <w:szCs w:val="18"/>
                <w:lang w:val="en-US" w:eastAsia="ko-KR"/>
              </w:rPr>
            </w:pPr>
            <w:r>
              <w:rPr>
                <w:rFonts w:hint="eastAsia"/>
                <w:b/>
                <w:bCs/>
                <w:color w:val="000000"/>
                <w:sz w:val="18"/>
                <w:szCs w:val="18"/>
                <w:lang w:val="en-US" w:eastAsia="ko-KR"/>
              </w:rPr>
              <w:t>com</w:t>
            </w:r>
            <w:r>
              <w:rPr>
                <w:b/>
                <w:bCs/>
                <w:color w:val="000000"/>
                <w:sz w:val="18"/>
                <w:szCs w:val="18"/>
                <w:lang w:val="en-US" w:eastAsia="ko-KR"/>
              </w:rPr>
              <w:t>bOffset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eastAsia="ko-KR"/>
              </w:rPr>
            </w:pPr>
            <w:r>
              <w:rPr>
                <w:rFonts w:hint="eastAsia"/>
                <w:b/>
                <w:bCs/>
                <w:sz w:val="18"/>
                <w:szCs w:val="18"/>
                <w:lang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rFonts w:hint="eastAsia"/>
                <w:b/>
                <w:bCs/>
                <w:color w:val="000000"/>
                <w:sz w:val="18"/>
                <w:szCs w:val="18"/>
                <w:lang w:val="en-US" w:eastAsia="ko-KR"/>
              </w:rPr>
              <w:t>0</w:t>
            </w:r>
          </w:p>
        </w:tc>
      </w:tr>
      <w:tr>
        <w:tblPrEx>
          <w:tblCellMar>
            <w:top w:w="0" w:type="dxa"/>
            <w:left w:w="99" w:type="dxa"/>
            <w:bottom w:w="0" w:type="dxa"/>
            <w:right w:w="99" w:type="dxa"/>
          </w:tblCellMar>
        </w:tblPrEx>
        <w:trPr>
          <w:trHeight w:val="51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Cyclic shift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sz w:val="18"/>
                <w:szCs w:val="18"/>
                <w:lang w:val="en-US" w:eastAsia="ko-KR"/>
              </w:rPr>
            </w:pPr>
            <w:r>
              <w:rPr>
                <w:b/>
                <w:bCs/>
                <w:sz w:val="18"/>
                <w:szCs w:val="18"/>
                <w:lang w:val="en-US" w:eastAsia="ko-KR"/>
              </w:rPr>
              <w:t>0</w:t>
            </w:r>
          </w:p>
        </w:tc>
      </w:tr>
      <w:tr>
        <w:tblPrEx>
          <w:tblCellMar>
            <w:top w:w="0" w:type="dxa"/>
            <w:left w:w="99" w:type="dxa"/>
            <w:bottom w:w="0" w:type="dxa"/>
            <w:right w:w="99" w:type="dxa"/>
          </w:tblCellMar>
        </w:tblPrEx>
        <w:trPr>
          <w:trHeight w:val="51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StartPosition (SRS symbol start position)</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0</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Number of symbol</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1</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1</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Number of RB</w:t>
            </w:r>
            <w:r>
              <w:rPr>
                <w:b/>
                <w:bCs/>
                <w:color w:val="000000"/>
                <w:sz w:val="18"/>
                <w:szCs w:val="18"/>
                <w:vertAlign w:val="superscript"/>
                <w:lang w:val="en-US" w:eastAsia="ko-KR"/>
              </w:rPr>
              <w:t xml:space="preserve"> Note1</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24 or 48</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same as UE1</w:t>
            </w:r>
          </w:p>
        </w:tc>
      </w:tr>
      <w:tr>
        <w:tblPrEx>
          <w:tblCellMar>
            <w:top w:w="0" w:type="dxa"/>
            <w:left w:w="99" w:type="dxa"/>
            <w:bottom w:w="0" w:type="dxa"/>
            <w:right w:w="99" w:type="dxa"/>
          </w:tblCellMar>
        </w:tblPrEx>
        <w:trPr>
          <w:trHeight w:val="51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Frequency domain position and shift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0</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0</w:t>
            </w:r>
          </w:p>
        </w:tc>
      </w:tr>
      <w:tr>
        <w:tblPrEx>
          <w:tblCellMar>
            <w:top w:w="0" w:type="dxa"/>
            <w:left w:w="99" w:type="dxa"/>
            <w:bottom w:w="0" w:type="dxa"/>
            <w:right w:w="99" w:type="dxa"/>
          </w:tblCellMar>
        </w:tblPrEx>
        <w:trPr>
          <w:trHeight w:val="330" w:hRule="atLeast"/>
          <w:jc w:val="center"/>
        </w:trPr>
        <w:tc>
          <w:tcPr>
            <w:tcW w:w="1238" w:type="dxa"/>
            <w:vMerge w:val="continue"/>
            <w:tcBorders>
              <w:top w:val="nil"/>
              <w:left w:val="single" w:color="auto" w:sz="8" w:space="0"/>
              <w:bottom w:val="single" w:color="000000" w:sz="4" w:space="0"/>
              <w:right w:val="single" w:color="auto" w:sz="4" w:space="0"/>
            </w:tcBorders>
            <w:shd w:val="clear" w:color="auto" w:fill="auto"/>
            <w:noWrap w:val="0"/>
            <w:vAlign w:val="center"/>
          </w:tcPr>
          <w:p>
            <w:pPr>
              <w:rPr>
                <w:b/>
                <w:bCs/>
                <w:color w:val="000000"/>
                <w:sz w:val="18"/>
                <w:szCs w:val="18"/>
                <w:lang w:val="en-US" w:eastAsia="ko-KR"/>
              </w:rPr>
            </w:pPr>
          </w:p>
        </w:tc>
        <w:tc>
          <w:tcPr>
            <w:tcW w:w="1739" w:type="dxa"/>
            <w:tcBorders>
              <w:top w:val="nil"/>
              <w:left w:val="nil"/>
              <w:bottom w:val="single" w:color="auto" w:sz="4" w:space="0"/>
              <w:right w:val="nil"/>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Periodicity [slot]</w:t>
            </w:r>
          </w:p>
        </w:tc>
        <w:tc>
          <w:tcPr>
            <w:tcW w:w="1827" w:type="dxa"/>
            <w:vMerge w:val="continue"/>
            <w:tcBorders>
              <w:top w:val="nil"/>
              <w:left w:val="single" w:color="auto" w:sz="8" w:space="0"/>
              <w:bottom w:val="single" w:color="auto" w:sz="4" w:space="0"/>
              <w:right w:val="single" w:color="auto" w:sz="4" w:space="0"/>
            </w:tcBorders>
            <w:shd w:val="clear" w:color="auto" w:fill="auto"/>
            <w:noWrap w:val="0"/>
            <w:vAlign w:val="center"/>
          </w:tcPr>
          <w:p>
            <w:pPr>
              <w:rPr>
                <w:b/>
                <w:bCs/>
                <w:sz w:val="18"/>
                <w:szCs w:val="18"/>
                <w:lang w:val="en-US" w:eastAsia="ko-KR"/>
              </w:rPr>
            </w:pP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5</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same as UE1</w:t>
            </w:r>
          </w:p>
        </w:tc>
      </w:tr>
      <w:tr>
        <w:tblPrEx>
          <w:tblCellMar>
            <w:top w:w="0" w:type="dxa"/>
            <w:left w:w="99" w:type="dxa"/>
            <w:bottom w:w="0" w:type="dxa"/>
            <w:right w:w="99" w:type="dxa"/>
          </w:tblCellMar>
        </w:tblPrEx>
        <w:trPr>
          <w:trHeight w:val="1125"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Timing error</w:t>
            </w:r>
            <w:r>
              <w:rPr>
                <w:b/>
                <w:bCs/>
                <w:color w:val="000000"/>
                <w:sz w:val="18"/>
                <w:szCs w:val="18"/>
                <w:highlight w:val="none"/>
                <w:vertAlign w:val="superscript"/>
                <w:lang w:val="en-US" w:eastAsia="ko-KR"/>
              </w:rPr>
              <w:t>Note2</w:t>
            </w:r>
            <w:r>
              <w:rPr>
                <w:b/>
                <w:bCs/>
                <w:color w:val="000000"/>
                <w:sz w:val="18"/>
                <w:szCs w:val="18"/>
                <w:lang w:val="en-US" w:eastAsia="ko-KR"/>
              </w:rPr>
              <w:t xml:space="preserve"> for UE 1 and UE2</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rFonts w:hint="eastAsia" w:eastAsia="宋体"/>
                <w:b/>
                <w:bCs/>
                <w:sz w:val="18"/>
                <w:szCs w:val="18"/>
                <w:lang w:val="en-US" w:eastAsia="zh-CN"/>
              </w:rPr>
            </w:pPr>
            <w:r>
              <w:rPr>
                <w:rFonts w:hint="eastAsia" w:eastAsia="宋体"/>
                <w:b/>
                <w:bCs/>
                <w:sz w:val="18"/>
                <w:szCs w:val="18"/>
                <w:lang w:val="en-US" w:eastAsia="zh-CN"/>
              </w:rPr>
              <w:t xml:space="preserve">[4.67 </w:t>
            </w:r>
            <w:r>
              <w:rPr>
                <w:b/>
                <w:bCs/>
                <w:sz w:val="18"/>
                <w:szCs w:val="18"/>
                <w:lang w:val="en-US" w:eastAsia="ko-KR"/>
              </w:rPr>
              <w:t>usec for FR1,</w:t>
            </w:r>
            <w:r>
              <w:rPr>
                <w:b/>
                <w:bCs/>
                <w:sz w:val="18"/>
                <w:szCs w:val="18"/>
                <w:lang w:val="en-US" w:eastAsia="ko-KR"/>
              </w:rPr>
              <w:br w:type="textWrapping"/>
            </w:r>
            <w:r>
              <w:rPr>
                <w:rFonts w:hint="eastAsia" w:eastAsia="宋体"/>
                <w:b/>
                <w:bCs/>
                <w:sz w:val="18"/>
                <w:szCs w:val="18"/>
                <w:lang w:val="en-US" w:eastAsia="zh-CN"/>
              </w:rPr>
              <w:t xml:space="preserve">3.67 </w:t>
            </w:r>
            <w:r>
              <w:rPr>
                <w:b/>
                <w:bCs/>
                <w:sz w:val="18"/>
                <w:szCs w:val="18"/>
                <w:lang w:val="en-US" w:eastAsia="ko-KR"/>
              </w:rPr>
              <w:t>usec for FR2</w:t>
            </w:r>
            <w:r>
              <w:rPr>
                <w:rFonts w:hint="eastAsia" w:eastAsia="宋体"/>
                <w:b/>
                <w:bCs/>
                <w:sz w:val="18"/>
                <w:szCs w:val="18"/>
                <w:lang w:val="en-US" w:eastAsia="zh-CN"/>
              </w:rPr>
              <w:t>]</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rFonts w:hint="eastAsia"/>
                <w:b/>
                <w:bCs/>
                <w:sz w:val="18"/>
                <w:szCs w:val="18"/>
                <w:lang w:val="en-US" w:eastAsia="ko-KR"/>
              </w:rPr>
              <w:t>-</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w:t>
            </w:r>
          </w:p>
        </w:tc>
      </w:tr>
      <w:tr>
        <w:tblPrEx>
          <w:tblCellMar>
            <w:top w:w="0" w:type="dxa"/>
            <w:left w:w="99" w:type="dxa"/>
            <w:bottom w:w="0" w:type="dxa"/>
            <w:right w:w="99" w:type="dxa"/>
          </w:tblCellMar>
        </w:tblPrEx>
        <w:trPr>
          <w:trHeight w:val="33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CP Length</w:t>
            </w:r>
          </w:p>
        </w:tc>
        <w:tc>
          <w:tcPr>
            <w:tcW w:w="7356" w:type="dxa"/>
            <w:gridSpan w:val="3"/>
            <w:tcBorders>
              <w:top w:val="single" w:color="auto" w:sz="4" w:space="0"/>
              <w:left w:val="single" w:color="auto" w:sz="8" w:space="0"/>
              <w:bottom w:val="single" w:color="auto" w:sz="4" w:space="0"/>
              <w:right w:val="single" w:color="000000" w:sz="8" w:space="0"/>
            </w:tcBorders>
            <w:shd w:val="clear" w:color="auto" w:fill="auto"/>
            <w:noWrap w:val="0"/>
            <w:vAlign w:val="center"/>
          </w:tcPr>
          <w:p>
            <w:pPr>
              <w:jc w:val="center"/>
              <w:rPr>
                <w:b/>
                <w:bCs/>
                <w:sz w:val="18"/>
                <w:szCs w:val="18"/>
                <w:lang w:val="en-US" w:eastAsia="ko-KR"/>
              </w:rPr>
            </w:pPr>
            <w:r>
              <w:rPr>
                <w:b/>
                <w:bCs/>
                <w:sz w:val="18"/>
                <w:szCs w:val="18"/>
                <w:lang w:eastAsia="ko-KR"/>
              </w:rPr>
              <w:t>Normal</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Number of measurement samples</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rFonts w:hint="eastAsia" w:eastAsia="宋体"/>
                <w:b/>
                <w:bCs/>
                <w:sz w:val="18"/>
                <w:szCs w:val="18"/>
                <w:lang w:val="en-US" w:eastAsia="zh-CN"/>
              </w:rPr>
            </w:pPr>
            <w:r>
              <w:rPr>
                <w:rFonts w:hint="eastAsia" w:eastAsia="宋体"/>
                <w:b/>
                <w:bCs/>
                <w:sz w:val="18"/>
                <w:szCs w:val="18"/>
                <w:lang w:val="en-US" w:eastAsia="zh-CN"/>
              </w:rPr>
              <w:t>[1</w:t>
            </w:r>
            <w:r>
              <w:rPr>
                <w:b/>
                <w:bCs/>
                <w:sz w:val="18"/>
                <w:szCs w:val="18"/>
                <w:lang w:eastAsia="ko-KR"/>
              </w:rPr>
              <w:t xml:space="preserve"> or </w:t>
            </w:r>
            <w:r>
              <w:rPr>
                <w:rFonts w:hint="eastAsia" w:eastAsia="宋体"/>
                <w:b/>
                <w:bCs/>
                <w:sz w:val="18"/>
                <w:szCs w:val="18"/>
                <w:lang w:val="en-US" w:eastAsia="zh-CN"/>
              </w:rPr>
              <w:t>2 or 3]</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N/A</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N/A</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eastAsia="ko-KR"/>
              </w:rPr>
            </w:pPr>
            <w:r>
              <w:rPr>
                <w:b/>
                <w:bCs/>
                <w:color w:val="000000"/>
                <w:sz w:val="18"/>
                <w:szCs w:val="18"/>
                <w:lang w:eastAsia="ko-KR"/>
              </w:rPr>
              <w:t>M</w:t>
            </w:r>
            <w:r>
              <w:rPr>
                <w:rFonts w:hint="eastAsia"/>
                <w:b/>
                <w:bCs/>
                <w:color w:val="000000"/>
                <w:sz w:val="18"/>
                <w:szCs w:val="18"/>
                <w:lang w:eastAsia="ko-KR"/>
              </w:rPr>
              <w:t xml:space="preserve">easurement </w:t>
            </w:r>
            <w:r>
              <w:rPr>
                <w:b/>
                <w:bCs/>
                <w:color w:val="000000"/>
                <w:sz w:val="18"/>
                <w:szCs w:val="18"/>
                <w:lang w:eastAsia="ko-KR"/>
              </w:rPr>
              <w:t>bandwidth [RB]</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b/>
                <w:bCs/>
                <w:sz w:val="18"/>
                <w:szCs w:val="18"/>
                <w:lang w:eastAsia="ko-KR"/>
              </w:rPr>
            </w:pPr>
            <w:r>
              <w:rPr>
                <w:b/>
                <w:bCs/>
                <w:sz w:val="18"/>
                <w:szCs w:val="18"/>
                <w:lang w:eastAsia="ko-KR"/>
              </w:rPr>
              <w:t>S</w:t>
            </w:r>
            <w:r>
              <w:rPr>
                <w:rFonts w:hint="eastAsia"/>
                <w:b/>
                <w:bCs/>
                <w:sz w:val="18"/>
                <w:szCs w:val="18"/>
                <w:lang w:eastAsia="ko-KR"/>
              </w:rPr>
              <w:t xml:space="preserve">ame </w:t>
            </w:r>
            <w:r>
              <w:rPr>
                <w:b/>
                <w:bCs/>
                <w:sz w:val="18"/>
                <w:szCs w:val="18"/>
                <w:lang w:eastAsia="ko-KR"/>
              </w:rPr>
              <w:t>as SRS transmission RB</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p>
        </w:tc>
      </w:tr>
      <w:tr>
        <w:tblPrEx>
          <w:tblCellMar>
            <w:top w:w="0" w:type="dxa"/>
            <w:left w:w="99" w:type="dxa"/>
            <w:bottom w:w="0" w:type="dxa"/>
            <w:right w:w="99" w:type="dxa"/>
          </w:tblCellMar>
        </w:tblPrEx>
        <w:trPr>
          <w:trHeight w:val="33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Measurement period [slot]</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5</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N/A</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N/A</w:t>
            </w:r>
          </w:p>
        </w:tc>
      </w:tr>
      <w:tr>
        <w:tblPrEx>
          <w:tblCellMar>
            <w:top w:w="0" w:type="dxa"/>
            <w:left w:w="99" w:type="dxa"/>
            <w:bottom w:w="0" w:type="dxa"/>
            <w:right w:w="99" w:type="dxa"/>
          </w:tblCellMar>
        </w:tblPrEx>
        <w:trPr>
          <w:trHeight w:val="510"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Number of UE receive antennas</w:t>
            </w:r>
          </w:p>
        </w:tc>
        <w:tc>
          <w:tcPr>
            <w:tcW w:w="1827" w:type="dxa"/>
            <w:tcBorders>
              <w:top w:val="nil"/>
              <w:left w:val="single" w:color="auto" w:sz="8" w:space="0"/>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2 Rx</w:t>
            </w:r>
          </w:p>
        </w:tc>
        <w:tc>
          <w:tcPr>
            <w:tcW w:w="2518" w:type="dxa"/>
            <w:tcBorders>
              <w:top w:val="nil"/>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N/A</w:t>
            </w:r>
          </w:p>
        </w:tc>
        <w:tc>
          <w:tcPr>
            <w:tcW w:w="3011" w:type="dxa"/>
            <w:tcBorders>
              <w:top w:val="nil"/>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N/A</w:t>
            </w:r>
          </w:p>
        </w:tc>
      </w:tr>
      <w:tr>
        <w:tblPrEx>
          <w:tblCellMar>
            <w:top w:w="0" w:type="dxa"/>
            <w:left w:w="99" w:type="dxa"/>
            <w:bottom w:w="0" w:type="dxa"/>
            <w:right w:w="99" w:type="dxa"/>
          </w:tblCellMar>
        </w:tblPrEx>
        <w:trPr>
          <w:trHeight w:val="510" w:hRule="atLeast"/>
          <w:jc w:val="center"/>
        </w:trPr>
        <w:tc>
          <w:tcPr>
            <w:tcW w:w="2977" w:type="dxa"/>
            <w:gridSpan w:val="2"/>
            <w:vMerge w:val="restart"/>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Propagation conditions</w:t>
            </w:r>
          </w:p>
        </w:tc>
        <w:tc>
          <w:tcPr>
            <w:tcW w:w="7356" w:type="dxa"/>
            <w:gridSpan w:val="3"/>
            <w:vMerge w:val="restart"/>
            <w:tcBorders>
              <w:top w:val="single" w:color="auto" w:sz="4" w:space="0"/>
              <w:left w:val="single" w:color="auto" w:sz="8" w:space="0"/>
              <w:bottom w:val="single" w:color="auto" w:sz="4" w:space="0"/>
              <w:right w:val="single" w:color="000000" w:sz="8" w:space="0"/>
            </w:tcBorders>
            <w:shd w:val="clear" w:color="auto" w:fill="auto"/>
            <w:noWrap w:val="0"/>
            <w:vAlign w:val="center"/>
          </w:tcPr>
          <w:p>
            <w:pPr>
              <w:jc w:val="center"/>
              <w:rPr>
                <w:b/>
                <w:bCs/>
                <w:sz w:val="18"/>
                <w:szCs w:val="18"/>
                <w:lang w:val="en-US" w:eastAsia="ko-KR"/>
              </w:rPr>
            </w:pPr>
            <w:r>
              <w:rPr>
                <w:b/>
                <w:bCs/>
                <w:sz w:val="18"/>
                <w:szCs w:val="18"/>
                <w:lang w:val="es-ES" w:eastAsia="ko-KR"/>
              </w:rPr>
              <w:t>AWGN, TDL-A10, TDL-C100 for FR1,</w:t>
            </w:r>
            <w:r>
              <w:rPr>
                <w:b/>
                <w:bCs/>
                <w:sz w:val="18"/>
                <w:szCs w:val="18"/>
                <w:lang w:val="es-ES" w:eastAsia="ko-KR"/>
              </w:rPr>
              <w:br w:type="textWrapping"/>
            </w:r>
            <w:r>
              <w:rPr>
                <w:b/>
                <w:bCs/>
                <w:sz w:val="18"/>
                <w:szCs w:val="18"/>
                <w:lang w:val="es-ES" w:eastAsia="ko-KR"/>
              </w:rPr>
              <w:t>AWGN, TDL-A75, TDL-C300 for FR2</w:t>
            </w:r>
          </w:p>
        </w:tc>
      </w:tr>
      <w:tr>
        <w:tblPrEx>
          <w:tblCellMar>
            <w:top w:w="0" w:type="dxa"/>
            <w:left w:w="99" w:type="dxa"/>
            <w:bottom w:w="0" w:type="dxa"/>
            <w:right w:w="99" w:type="dxa"/>
          </w:tblCellMar>
        </w:tblPrEx>
        <w:trPr>
          <w:trHeight w:val="330" w:hRule="atLeast"/>
          <w:jc w:val="center"/>
        </w:trPr>
        <w:tc>
          <w:tcPr>
            <w:tcW w:w="2977" w:type="dxa"/>
            <w:gridSpan w:val="2"/>
            <w:vMerge w:val="continue"/>
            <w:tcBorders>
              <w:top w:val="single" w:color="auto" w:sz="8" w:space="0"/>
              <w:left w:val="single" w:color="auto" w:sz="8" w:space="0"/>
              <w:bottom w:val="single" w:color="auto" w:sz="4" w:space="0"/>
              <w:right w:val="single" w:color="auto" w:sz="4" w:space="0"/>
            </w:tcBorders>
            <w:noWrap w:val="0"/>
            <w:vAlign w:val="center"/>
          </w:tcPr>
          <w:p>
            <w:pPr>
              <w:rPr>
                <w:b/>
                <w:bCs/>
                <w:color w:val="000000"/>
                <w:sz w:val="18"/>
                <w:szCs w:val="18"/>
                <w:lang w:val="en-US" w:eastAsia="ko-KR"/>
              </w:rPr>
            </w:pPr>
          </w:p>
        </w:tc>
        <w:tc>
          <w:tcPr>
            <w:tcW w:w="7356" w:type="dxa"/>
            <w:gridSpan w:val="3"/>
            <w:vMerge w:val="continue"/>
            <w:tcBorders>
              <w:top w:val="single" w:color="auto" w:sz="8" w:space="0"/>
              <w:left w:val="single" w:color="auto" w:sz="8" w:space="0"/>
              <w:bottom w:val="single" w:color="auto" w:sz="4" w:space="0"/>
              <w:right w:val="single" w:color="000000" w:sz="8" w:space="0"/>
            </w:tcBorders>
            <w:noWrap w:val="0"/>
            <w:vAlign w:val="center"/>
          </w:tcPr>
          <w:p>
            <w:pPr>
              <w:rPr>
                <w:b/>
                <w:bCs/>
                <w:sz w:val="18"/>
                <w:szCs w:val="18"/>
                <w:lang w:val="en-US" w:eastAsia="ko-KR"/>
              </w:rPr>
            </w:pPr>
          </w:p>
        </w:tc>
      </w:tr>
      <w:tr>
        <w:tblPrEx>
          <w:tblCellMar>
            <w:top w:w="0" w:type="dxa"/>
            <w:left w:w="99" w:type="dxa"/>
            <w:bottom w:w="0" w:type="dxa"/>
            <w:right w:w="99" w:type="dxa"/>
          </w:tblCellMar>
        </w:tblPrEx>
        <w:trPr>
          <w:trHeight w:val="345" w:hRule="atLeast"/>
          <w:jc w:val="center"/>
        </w:trPr>
        <w:tc>
          <w:tcPr>
            <w:tcW w:w="2977" w:type="dxa"/>
            <w:gridSpan w:val="2"/>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color w:val="000000"/>
                <w:sz w:val="18"/>
                <w:szCs w:val="18"/>
                <w:lang w:val="en-US" w:eastAsia="ko-KR"/>
              </w:rPr>
            </w:pPr>
            <w:r>
              <w:rPr>
                <w:b/>
                <w:bCs/>
                <w:color w:val="000000"/>
                <w:sz w:val="18"/>
                <w:szCs w:val="18"/>
                <w:lang w:eastAsia="ko-KR"/>
              </w:rPr>
              <w:t>SINR</w:t>
            </w:r>
          </w:p>
        </w:tc>
        <w:tc>
          <w:tcPr>
            <w:tcW w:w="1827" w:type="dxa"/>
            <w:tcBorders>
              <w:top w:val="single" w:color="auto" w:sz="4" w:space="0"/>
              <w:left w:val="single" w:color="auto" w:sz="8" w:space="0"/>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eastAsia="ko-KR"/>
              </w:rPr>
              <w:t>-3dB or -1dB</w:t>
            </w:r>
          </w:p>
        </w:tc>
        <w:tc>
          <w:tcPr>
            <w:tcW w:w="2518" w:type="dxa"/>
            <w:tcBorders>
              <w:top w:val="single" w:color="auto" w:sz="4" w:space="0"/>
              <w:left w:val="nil"/>
              <w:bottom w:val="single" w:color="auto" w:sz="4" w:space="0"/>
              <w:right w:val="single" w:color="auto" w:sz="4" w:space="0"/>
            </w:tcBorders>
            <w:shd w:val="clear" w:color="auto" w:fill="auto"/>
            <w:noWrap w:val="0"/>
            <w:vAlign w:val="center"/>
          </w:tcPr>
          <w:p>
            <w:pPr>
              <w:jc w:val="center"/>
              <w:rPr>
                <w:b/>
                <w:bCs/>
                <w:sz w:val="18"/>
                <w:szCs w:val="18"/>
                <w:lang w:val="en-US" w:eastAsia="ko-KR"/>
              </w:rPr>
            </w:pPr>
            <w:r>
              <w:rPr>
                <w:b/>
                <w:bCs/>
                <w:sz w:val="18"/>
                <w:szCs w:val="18"/>
                <w:lang w:val="en-US" w:eastAsia="ko-KR"/>
              </w:rPr>
              <w:t>N/A</w:t>
            </w:r>
          </w:p>
        </w:tc>
        <w:tc>
          <w:tcPr>
            <w:tcW w:w="3011" w:type="dxa"/>
            <w:tcBorders>
              <w:top w:val="single" w:color="auto" w:sz="4" w:space="0"/>
              <w:left w:val="nil"/>
              <w:bottom w:val="single" w:color="auto" w:sz="4" w:space="0"/>
              <w:right w:val="single" w:color="auto" w:sz="8" w:space="0"/>
            </w:tcBorders>
            <w:shd w:val="clear" w:color="auto" w:fill="auto"/>
            <w:noWrap w:val="0"/>
            <w:vAlign w:val="center"/>
          </w:tcPr>
          <w:p>
            <w:pPr>
              <w:jc w:val="center"/>
              <w:rPr>
                <w:b/>
                <w:bCs/>
                <w:color w:val="000000"/>
                <w:sz w:val="18"/>
                <w:szCs w:val="18"/>
                <w:lang w:val="en-US" w:eastAsia="ko-KR"/>
              </w:rPr>
            </w:pPr>
            <w:r>
              <w:rPr>
                <w:b/>
                <w:bCs/>
                <w:color w:val="000000"/>
                <w:sz w:val="18"/>
                <w:szCs w:val="18"/>
                <w:lang w:val="en-US" w:eastAsia="ko-KR"/>
              </w:rPr>
              <w:t>N/A</w:t>
            </w:r>
          </w:p>
        </w:tc>
      </w:tr>
      <w:tr>
        <w:tblPrEx>
          <w:tblCellMar>
            <w:top w:w="0" w:type="dxa"/>
            <w:left w:w="99" w:type="dxa"/>
            <w:bottom w:w="0" w:type="dxa"/>
            <w:right w:w="99" w:type="dxa"/>
          </w:tblCellMar>
        </w:tblPrEx>
        <w:trPr>
          <w:trHeight w:val="345" w:hRule="atLeast"/>
          <w:jc w:val="center"/>
        </w:trPr>
        <w:tc>
          <w:tcPr>
            <w:tcW w:w="10333" w:type="dxa"/>
            <w:gridSpan w:val="5"/>
            <w:tcBorders>
              <w:top w:val="single" w:color="auto" w:sz="4" w:space="0"/>
              <w:left w:val="single" w:color="auto" w:sz="8" w:space="0"/>
              <w:bottom w:val="single" w:color="auto" w:sz="8" w:space="0"/>
              <w:right w:val="single" w:color="auto" w:sz="8" w:space="0"/>
            </w:tcBorders>
            <w:shd w:val="clear" w:color="auto" w:fill="auto"/>
            <w:noWrap w:val="0"/>
            <w:vAlign w:val="center"/>
          </w:tcPr>
          <w:p>
            <w:pPr>
              <w:jc w:val="both"/>
              <w:rPr>
                <w:b/>
                <w:bCs/>
                <w:lang w:eastAsia="ko-KR"/>
              </w:rPr>
            </w:pPr>
            <w:r>
              <w:rPr>
                <w:rFonts w:hint="eastAsia"/>
                <w:b/>
                <w:bCs/>
                <w:lang w:eastAsia="ko-KR"/>
              </w:rPr>
              <w:t xml:space="preserve">Note 1: </w:t>
            </w:r>
            <w:r>
              <w:rPr>
                <w:b/>
                <w:bCs/>
                <w:lang w:eastAsia="ko-KR"/>
              </w:rPr>
              <w:t>Allocated RBs are within active BWP for measurement UE.</w:t>
            </w:r>
          </w:p>
          <w:p>
            <w:pPr>
              <w:jc w:val="both"/>
              <w:rPr>
                <w:rFonts w:hint="eastAsia"/>
                <w:b/>
                <w:bCs/>
                <w:lang w:eastAsia="ko-KR"/>
              </w:rPr>
            </w:pPr>
            <w:r>
              <w:rPr>
                <w:rFonts w:hint="eastAsia"/>
                <w:b/>
                <w:bCs/>
                <w:lang w:eastAsia="ko-KR"/>
              </w:rPr>
              <w:t xml:space="preserve">Note 2: </w:t>
            </w:r>
            <w:r>
              <w:rPr>
                <w:b/>
                <w:bCs/>
                <w:highlight w:val="none"/>
                <w:lang w:eastAsia="ko-KR"/>
              </w:rPr>
              <w:t xml:space="preserve">Timing error </w:t>
            </w:r>
            <w:r>
              <w:rPr>
                <w:b/>
                <w:bCs/>
                <w:lang w:eastAsia="ko-KR"/>
              </w:rPr>
              <w:t xml:space="preserve">is </w:t>
            </w:r>
            <w:r>
              <w:rPr>
                <w:rFonts w:hint="eastAsia"/>
                <w:b/>
                <w:bCs/>
                <w:lang w:eastAsia="ko-KR"/>
              </w:rPr>
              <w:t>Tc*N</w:t>
            </w:r>
            <w:r>
              <w:rPr>
                <w:rFonts w:hint="eastAsia"/>
                <w:b/>
                <w:bCs/>
                <w:sz w:val="13"/>
                <w:szCs w:val="13"/>
                <w:lang w:eastAsia="ko-KR"/>
              </w:rPr>
              <w:t>TA_offset</w:t>
            </w:r>
            <w:r>
              <w:rPr>
                <w:rFonts w:hint="eastAsia"/>
                <w:b/>
                <w:bCs/>
                <w:lang w:eastAsia="ko-KR"/>
              </w:rPr>
              <w:t xml:space="preserve"> + T</w:t>
            </w:r>
            <w:r>
              <w:rPr>
                <w:rFonts w:hint="eastAsia"/>
                <w:b/>
                <w:bCs/>
                <w:sz w:val="13"/>
                <w:szCs w:val="13"/>
                <w:lang w:eastAsia="ko-KR"/>
              </w:rPr>
              <w:t>other</w:t>
            </w:r>
            <w:r>
              <w:rPr>
                <w:b/>
                <w:bCs/>
                <w:lang w:eastAsia="ko-KR"/>
              </w:rPr>
              <w:t xml:space="preserve">. </w:t>
            </w:r>
            <w:r>
              <w:rPr>
                <w:rFonts w:hint="eastAsia"/>
                <w:b/>
                <w:bCs/>
                <w:lang w:eastAsia="ko-KR"/>
              </w:rPr>
              <w:t>T</w:t>
            </w:r>
            <w:r>
              <w:rPr>
                <w:rFonts w:hint="eastAsia"/>
                <w:b/>
                <w:bCs/>
                <w:sz w:val="13"/>
                <w:szCs w:val="13"/>
                <w:lang w:eastAsia="ko-KR"/>
              </w:rPr>
              <w:t>other</w:t>
            </w:r>
            <w:r>
              <w:rPr>
                <w:rFonts w:hint="eastAsia"/>
                <w:b/>
                <w:bCs/>
                <w:lang w:eastAsia="ko-KR"/>
              </w:rPr>
              <w:t xml:space="preserve"> = T</w:t>
            </w:r>
            <w:r>
              <w:rPr>
                <w:rFonts w:hint="eastAsia"/>
                <w:b/>
                <w:bCs/>
                <w:sz w:val="13"/>
                <w:szCs w:val="13"/>
                <w:lang w:eastAsia="ko-KR"/>
              </w:rPr>
              <w:t>propagation_delay</w:t>
            </w:r>
            <w:r>
              <w:rPr>
                <w:rFonts w:hint="eastAsia"/>
                <w:b/>
                <w:bCs/>
                <w:lang w:eastAsia="ko-KR"/>
              </w:rPr>
              <w:t xml:space="preserve"> + T</w:t>
            </w:r>
            <w:r>
              <w:rPr>
                <w:rFonts w:hint="eastAsia"/>
                <w:b/>
                <w:bCs/>
                <w:sz w:val="13"/>
                <w:szCs w:val="13"/>
                <w:lang w:eastAsia="ko-KR"/>
              </w:rPr>
              <w:t>cell_phase_synchronization</w:t>
            </w:r>
          </w:p>
          <w:p>
            <w:pPr>
              <w:jc w:val="both"/>
              <w:rPr>
                <w:b/>
                <w:bCs/>
                <w:lang w:eastAsia="ko-KR"/>
              </w:rPr>
            </w:pPr>
            <w:r>
              <w:rPr>
                <w:rFonts w:hint="eastAsia" w:eastAsia="宋体"/>
                <w:b/>
                <w:bCs/>
                <w:lang w:val="en-US" w:eastAsia="zh-CN"/>
              </w:rPr>
              <w:t xml:space="preserve">Where </w:t>
            </w:r>
            <w:r>
              <w:rPr>
                <w:rFonts w:hint="eastAsia"/>
                <w:b/>
                <w:bCs/>
                <w:lang w:eastAsia="ko-KR"/>
              </w:rPr>
              <w:t>T</w:t>
            </w:r>
            <w:r>
              <w:rPr>
                <w:rFonts w:hint="eastAsia"/>
                <w:b/>
                <w:bCs/>
                <w:sz w:val="13"/>
                <w:szCs w:val="13"/>
                <w:lang w:eastAsia="ko-KR"/>
              </w:rPr>
              <w:t>other</w:t>
            </w:r>
            <w:r>
              <w:rPr>
                <w:rFonts w:hint="eastAsia"/>
                <w:b/>
                <w:bCs/>
                <w:lang w:eastAsia="ko-KR"/>
              </w:rPr>
              <w:t xml:space="preserve"> = 4.67usec for FR1 and 3.67usec for FR2</w:t>
            </w:r>
            <w:r>
              <w:rPr>
                <w:rFonts w:hint="eastAsia" w:eastAsia="宋体"/>
                <w:b/>
                <w:bCs/>
                <w:lang w:val="en-US" w:eastAsia="zh-CN"/>
              </w:rPr>
              <w:t xml:space="preserve"> </w:t>
            </w:r>
            <w:r>
              <w:rPr>
                <w:rFonts w:hint="eastAsia"/>
                <w:b/>
                <w:bCs/>
                <w:lang w:eastAsia="ko-KR"/>
              </w:rPr>
              <w:t>under the assumption that ISD=500m for FR1 and ISD=200m for FR2</w:t>
            </w:r>
          </w:p>
          <w:p>
            <w:pPr>
              <w:rPr>
                <w:rFonts w:hint="eastAsia"/>
                <w:b/>
                <w:bCs/>
                <w:lang w:eastAsia="ko-KR"/>
              </w:rPr>
            </w:pPr>
            <w:r>
              <w:rPr>
                <w:b/>
                <w:bCs/>
                <w:lang w:eastAsia="ko-KR"/>
              </w:rPr>
              <w:t>Note 3: No frequency hopping is assumed.</w:t>
            </w:r>
          </w:p>
        </w:tc>
      </w:tr>
    </w:tbl>
    <w:p>
      <w:pPr>
        <w:pStyle w:val="9"/>
        <w:bidi w:val="0"/>
        <w:rPr>
          <w:rFonts w:hint="eastAsia"/>
          <w:b/>
          <w:bCs/>
          <w:lang w:val="en-US" w:eastAsia="zh-CN"/>
        </w:rPr>
      </w:pPr>
    </w:p>
    <w:p>
      <w:pPr>
        <w:pStyle w:val="9"/>
        <w:bidi w:val="0"/>
        <w:rPr>
          <w:rFonts w:hint="eastAsia"/>
          <w:b/>
          <w:bCs/>
          <w:lang w:val="en-US" w:eastAsia="zh-CN"/>
        </w:rPr>
      </w:pPr>
      <w:r>
        <w:rPr>
          <w:rFonts w:hint="eastAsia"/>
          <w:b/>
          <w:bCs/>
          <w:lang w:val="en-US" w:eastAsia="zh-CN"/>
        </w:rPr>
        <w:t>Proposal 4: For the side condition of time offset, reusing R16 CLI SRS RSRP assumption to accomodate both intra-cell and inter-cell CLI measurements for Method#2. No need to identify time offset for Method#1 and #3.</w:t>
      </w:r>
    </w:p>
    <w:p>
      <w:pPr>
        <w:pStyle w:val="9"/>
        <w:bidi w:val="0"/>
        <w:rPr>
          <w:rFonts w:hint="default"/>
          <w:b/>
          <w:bCs/>
          <w:lang w:val="en-US" w:eastAsia="zh-CN"/>
        </w:rPr>
      </w:pPr>
      <w:r>
        <w:rPr>
          <w:rFonts w:hint="eastAsia"/>
          <w:b/>
          <w:bCs/>
          <w:lang w:val="en-US" w:eastAsia="zh-CN"/>
        </w:rPr>
        <w:t>Proposal 5: Determine the side condition of SRS Es/Iot for Method#2 according to the evaluation results. Not need this side condition in Method#1 and #3.</w:t>
      </w:r>
    </w:p>
    <w:p>
      <w:pPr>
        <w:pStyle w:val="9"/>
        <w:bidi w:val="0"/>
        <w:rPr>
          <w:rFonts w:hint="eastAsia"/>
          <w:b/>
          <w:bCs/>
          <w:lang w:val="en-US" w:eastAsia="zh-CN"/>
        </w:rPr>
      </w:pPr>
      <w:r>
        <w:rPr>
          <w:rFonts w:hint="eastAsia"/>
          <w:b/>
          <w:bCs/>
          <w:lang w:val="en-US" w:eastAsia="zh-CN"/>
        </w:rPr>
        <w:t>Proposal 6: For the side condition of minimum RSRP, reuse the value in R16 CLI measurements.</w:t>
      </w:r>
    </w:p>
    <w:p>
      <w:pPr>
        <w:pStyle w:val="9"/>
        <w:bidi w:val="0"/>
        <w:rPr>
          <w:rFonts w:hint="eastAsia"/>
          <w:b/>
          <w:bCs/>
          <w:lang w:val="en-US" w:eastAsia="zh-CN"/>
        </w:rPr>
      </w:pPr>
      <w:r>
        <w:rPr>
          <w:rFonts w:hint="eastAsia"/>
          <w:b/>
          <w:bCs/>
          <w:lang w:val="en-US" w:eastAsia="zh-CN"/>
        </w:rPr>
        <w:t>Proposal 7: For the side condition of maximum RSRP, whether reusing the value in R16 SRS-RSRP CLI measurement, depend on whether the assumptions on SRS Tx power, antenna gain and pathloss changed or not.</w:t>
      </w:r>
    </w:p>
    <w:p>
      <w:pPr>
        <w:pStyle w:val="9"/>
        <w:bidi w:val="0"/>
        <w:rPr>
          <w:rFonts w:hint="default"/>
          <w:b/>
          <w:bCs/>
          <w:lang w:val="en-US" w:eastAsia="zh-CN"/>
        </w:rPr>
      </w:pPr>
      <w:r>
        <w:rPr>
          <w:rFonts w:hint="eastAsia"/>
          <w:b/>
          <w:bCs/>
          <w:lang w:val="en-US" w:eastAsia="zh-CN"/>
        </w:rPr>
        <w:t>Proposal 8: The R19 UE-to-UE CLI is L1 measurement, instead of L3 measurement, so the legacy UE-to-UE CLI accuracy requirements can not be reused directly. Determining the accuracy requirements based on the evaluation results.</w:t>
      </w:r>
    </w:p>
    <w:p>
      <w:pPr>
        <w:pStyle w:val="9"/>
        <w:bidi w:val="0"/>
        <w:rPr>
          <w:rFonts w:hint="default" w:cs="Arial"/>
          <w:lang w:val="en-US" w:eastAsia="zh-CN"/>
        </w:rPr>
      </w:pPr>
      <w:r>
        <w:rPr>
          <w:rFonts w:hint="eastAsia"/>
          <w:b/>
          <w:bCs/>
          <w:lang w:val="en-US" w:eastAsia="zh-CN"/>
        </w:rPr>
        <w:t>Proposal 9: For the neighbour cell SSB based measurement, including both measurement with MG and measurement without MG, reusing the existing measurement restriction and interruption requirements to handle the collision between measurements and UL transmission in 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Observation 5: According to RAN1 progress, the CSI-RS based RRM measurement would be impacted by the overlapping dynamically scheduled UL transmission in 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10: Applying additional scaling factor to guarantee the performance of CSI-RS based measurements provided some measurement occasions are cancled by UL transmission in 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11: The existing scheduling restriction for CSI-RS based measurement in TDD is not applicable to SBFD symbols any more, need to consider new solution.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 xml:space="preserve">Proposal 12: RAN4 needs to identify the scheduling restriction on the SBFD symbols for SSB based RRM measurements and CSI-RS based RRM measurements respectively. For SSB based, reusing the existing scheduling restriction is preferred. For CSI-RS based, some updated solution is needed.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pPr>
      <w:r>
        <w:rPr>
          <w:rFonts w:hint="eastAsia"/>
          <w:b/>
          <w:bCs/>
          <w:lang w:val="en-US" w:eastAsia="zh-CN"/>
        </w:rPr>
        <w:t>Proposal 13: No impact on the RACH requirements.</w:t>
      </w:r>
      <w:bookmarkStart w:id="4" w:name="_GoBack"/>
      <w:bookmarkEnd w:id="4"/>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7"/>
        </w:numPr>
        <w:ind w:leftChars="0"/>
        <w:rPr>
          <w:rFonts w:hint="eastAsia"/>
          <w:color w:val="auto"/>
          <w:sz w:val="20"/>
          <w:szCs w:val="20"/>
          <w:highlight w:val="none"/>
          <w:lang w:val="en-US" w:eastAsia="zh-CN"/>
        </w:rPr>
      </w:pPr>
      <w:bookmarkStart w:id="0" w:name="_Ref158037842"/>
      <w:r>
        <w:rPr>
          <w:rFonts w:hint="eastAsia"/>
          <w:color w:val="auto"/>
          <w:sz w:val="20"/>
          <w:szCs w:val="20"/>
          <w:highlight w:val="none"/>
          <w:lang w:val="en-US" w:eastAsia="zh-CN"/>
        </w:rPr>
        <w:t>RP-234035, “New WID: Evolution of NR duplex operation: Sub-band full duplex (SBFD)”, 3GPP RAN#102, 2023.</w:t>
      </w:r>
      <w:bookmarkEnd w:id="0"/>
    </w:p>
    <w:p>
      <w:pPr>
        <w:pStyle w:val="10"/>
        <w:numPr>
          <w:ilvl w:val="0"/>
          <w:numId w:val="17"/>
        </w:numPr>
        <w:ind w:leftChars="0"/>
        <w:rPr>
          <w:rFonts w:hint="eastAsia"/>
          <w:color w:val="auto"/>
          <w:sz w:val="20"/>
          <w:szCs w:val="20"/>
          <w:highlight w:val="none"/>
          <w:lang w:val="en-US" w:eastAsia="zh-CN"/>
        </w:rPr>
      </w:pPr>
      <w:r>
        <w:rPr>
          <w:rFonts w:hint="eastAsia"/>
          <w:lang w:val="en-US" w:eastAsia="zh-CN"/>
        </w:rPr>
        <w:t xml:space="preserve">R4-2413900, </w:t>
      </w:r>
      <w:r>
        <w:rPr>
          <w:rFonts w:hint="default"/>
          <w:lang w:val="en-US" w:eastAsia="zh-CN"/>
        </w:rPr>
        <w:t>“WF on SBFD RRM”</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 2024.</w:t>
      </w:r>
    </w:p>
    <w:p>
      <w:pPr>
        <w:pStyle w:val="10"/>
        <w:numPr>
          <w:ilvl w:val="0"/>
          <w:numId w:val="17"/>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3GPP </w:t>
      </w:r>
      <w:bookmarkStart w:id="1" w:name="specType1"/>
      <w:r>
        <w:rPr>
          <w:rFonts w:hint="eastAsia"/>
          <w:color w:val="auto"/>
          <w:sz w:val="20"/>
          <w:szCs w:val="20"/>
          <w:highlight w:val="none"/>
          <w:lang w:val="en-US" w:eastAsia="zh-CN"/>
        </w:rPr>
        <w:t>TR</w:t>
      </w:r>
      <w:bookmarkEnd w:id="1"/>
      <w:r>
        <w:rPr>
          <w:rFonts w:hint="eastAsia"/>
          <w:color w:val="auto"/>
          <w:sz w:val="20"/>
          <w:szCs w:val="20"/>
          <w:highlight w:val="none"/>
          <w:lang w:val="en-US" w:eastAsia="zh-CN"/>
        </w:rPr>
        <w:t xml:space="preserve"> </w:t>
      </w:r>
      <w:bookmarkStart w:id="2" w:name="specNumber"/>
      <w:r>
        <w:rPr>
          <w:rFonts w:hint="eastAsia"/>
          <w:color w:val="auto"/>
          <w:sz w:val="20"/>
          <w:szCs w:val="20"/>
          <w:highlight w:val="none"/>
          <w:lang w:val="en-US" w:eastAsia="zh-CN"/>
        </w:rPr>
        <w:t>38.</w:t>
      </w:r>
      <w:bookmarkEnd w:id="2"/>
      <w:r>
        <w:rPr>
          <w:rFonts w:hint="eastAsia"/>
          <w:color w:val="auto"/>
          <w:sz w:val="20"/>
          <w:szCs w:val="20"/>
          <w:highlight w:val="none"/>
          <w:lang w:val="en-US" w:eastAsia="zh-CN"/>
        </w:rPr>
        <w:t xml:space="preserve">858_i10, Study on Evolution of NR Duplex Operation, (Release </w:t>
      </w:r>
      <w:bookmarkStart w:id="3" w:name="specRelease"/>
      <w:r>
        <w:rPr>
          <w:rFonts w:hint="eastAsia"/>
          <w:color w:val="auto"/>
          <w:sz w:val="20"/>
          <w:szCs w:val="20"/>
          <w:highlight w:val="none"/>
          <w:lang w:val="en-US" w:eastAsia="zh-CN"/>
        </w:rPr>
        <w:t>18</w:t>
      </w:r>
      <w:bookmarkEnd w:id="3"/>
      <w:r>
        <w:rPr>
          <w:rFonts w:hint="eastAsia"/>
          <w:color w:val="auto"/>
          <w:sz w:val="20"/>
          <w:szCs w:val="20"/>
          <w:highlight w:val="none"/>
          <w:lang w:val="en-US" w:eastAsia="zh-CN"/>
        </w:rPr>
        <w:t xml:space="preserve">). </w:t>
      </w:r>
    </w:p>
    <w:p>
      <w:pPr>
        <w:pStyle w:val="10"/>
        <w:numPr>
          <w:ilvl w:val="0"/>
          <w:numId w:val="17"/>
        </w:numPr>
        <w:ind w:leftChars="0"/>
        <w:rPr>
          <w:rFonts w:hint="eastAsia"/>
          <w:color w:val="auto"/>
          <w:sz w:val="20"/>
          <w:szCs w:val="20"/>
          <w:highlight w:val="none"/>
          <w:lang w:val="en-US" w:eastAsia="zh-CN"/>
        </w:rPr>
      </w:pPr>
      <w:r>
        <w:rPr>
          <w:rFonts w:hint="eastAsia"/>
          <w:color w:val="auto"/>
          <w:sz w:val="20"/>
          <w:szCs w:val="20"/>
          <w:highlight w:val="none"/>
          <w:lang w:val="en-US" w:eastAsia="zh-CN"/>
        </w:rPr>
        <w:t>Final_Minutes_report_RAN1#116_v100</w:t>
      </w:r>
    </w:p>
    <w:p>
      <w:pPr>
        <w:pStyle w:val="10"/>
        <w:numPr>
          <w:ilvl w:val="0"/>
          <w:numId w:val="17"/>
        </w:numPr>
        <w:ind w:leftChars="0"/>
        <w:rPr>
          <w:rFonts w:hint="eastAsia"/>
          <w:color w:val="auto"/>
          <w:sz w:val="20"/>
          <w:szCs w:val="20"/>
          <w:highlight w:val="none"/>
          <w:lang w:val="en-US" w:eastAsia="zh-CN"/>
        </w:rPr>
      </w:pPr>
      <w:r>
        <w:rPr>
          <w:rFonts w:hint="eastAsia"/>
          <w:color w:val="auto"/>
          <w:sz w:val="20"/>
          <w:szCs w:val="20"/>
          <w:highlight w:val="none"/>
          <w:lang w:val="en-US" w:eastAsia="zh-CN"/>
        </w:rPr>
        <w:t>Final_Minutes_report_RAN1#116b_v100</w:t>
      </w:r>
    </w:p>
    <w:p>
      <w:pPr>
        <w:pStyle w:val="10"/>
        <w:numPr>
          <w:ilvl w:val="0"/>
          <w:numId w:val="17"/>
        </w:numPr>
        <w:ind w:leftChars="0"/>
        <w:rPr>
          <w:rFonts w:hint="eastAsia"/>
          <w:color w:val="auto"/>
          <w:sz w:val="20"/>
          <w:szCs w:val="20"/>
          <w:highlight w:val="none"/>
          <w:lang w:val="en-US" w:eastAsia="zh-CN"/>
        </w:rPr>
      </w:pPr>
      <w:r>
        <w:rPr>
          <w:rFonts w:hint="eastAsia"/>
          <w:color w:val="auto"/>
          <w:sz w:val="20"/>
          <w:szCs w:val="20"/>
          <w:highlight w:val="none"/>
          <w:lang w:val="en-US" w:eastAsia="zh-CN"/>
        </w:rPr>
        <w:t>Final_Minutes_report_RAN1#117_v020</w:t>
      </w:r>
    </w:p>
    <w:p>
      <w:pPr>
        <w:pStyle w:val="10"/>
        <w:numPr>
          <w:ilvl w:val="0"/>
          <w:numId w:val="17"/>
        </w:numPr>
        <w:ind w:leftChars="0"/>
        <w:rPr>
          <w:rFonts w:hint="eastAsia"/>
          <w:color w:val="auto"/>
          <w:sz w:val="20"/>
          <w:szCs w:val="20"/>
          <w:highlight w:val="none"/>
          <w:lang w:val="en-US" w:eastAsia="zh-CN"/>
        </w:rPr>
      </w:pPr>
      <w:r>
        <w:rPr>
          <w:rFonts w:hint="eastAsia"/>
          <w:color w:val="auto"/>
          <w:sz w:val="20"/>
          <w:szCs w:val="20"/>
          <w:highlight w:val="none"/>
          <w:lang w:val="en-US" w:eastAsia="zh-CN"/>
        </w:rPr>
        <w:t>TS 38.133_i50.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pitch w:val="default"/>
    <w:sig w:usb0="E10022FF" w:usb1="C000E47F" w:usb2="00000029" w:usb3="00000000" w:csb0="200001DF" w:csb1="2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FAF953"/>
    <w:multiLevelType w:val="singleLevel"/>
    <w:tmpl w:val="AAFAF953"/>
    <w:lvl w:ilvl="0" w:tentative="0">
      <w:start w:val="1"/>
      <w:numFmt w:val="decimal"/>
      <w:suff w:val="space"/>
      <w:lvlText w:val="%1)"/>
      <w:lvlJc w:val="left"/>
    </w:lvl>
  </w:abstractNum>
  <w:abstractNum w:abstractNumId="1">
    <w:nsid w:val="BAD0E00A"/>
    <w:multiLevelType w:val="singleLevel"/>
    <w:tmpl w:val="BAD0E00A"/>
    <w:lvl w:ilvl="0" w:tentative="0">
      <w:start w:val="1"/>
      <w:numFmt w:val="bullet"/>
      <w:lvlText w:val=""/>
      <w:lvlJc w:val="left"/>
      <w:pPr>
        <w:tabs>
          <w:tab w:val="left" w:pos="420"/>
        </w:tabs>
        <w:ind w:left="840" w:hanging="420"/>
      </w:pPr>
      <w:rPr>
        <w:rFonts w:hint="default" w:ascii="Wingdings" w:hAnsi="Wingdings"/>
      </w:rPr>
    </w:lvl>
  </w:abstractNum>
  <w:abstractNum w:abstractNumId="2">
    <w:nsid w:val="BD00F6CC"/>
    <w:multiLevelType w:val="singleLevel"/>
    <w:tmpl w:val="BD00F6CC"/>
    <w:lvl w:ilvl="0" w:tentative="0">
      <w:start w:val="1"/>
      <w:numFmt w:val="bullet"/>
      <w:lvlText w:val=""/>
      <w:lvlJc w:val="left"/>
      <w:pPr>
        <w:tabs>
          <w:tab w:val="left" w:pos="420"/>
        </w:tabs>
        <w:ind w:left="840" w:hanging="420"/>
      </w:pPr>
      <w:rPr>
        <w:rFonts w:hint="default" w:ascii="Wingdings" w:hAnsi="Wingdings"/>
      </w:rPr>
    </w:lvl>
  </w:abstractNum>
  <w:abstractNum w:abstractNumId="3">
    <w:nsid w:val="C6E89EDC"/>
    <w:multiLevelType w:val="singleLevel"/>
    <w:tmpl w:val="C6E89EDC"/>
    <w:lvl w:ilvl="0" w:tentative="0">
      <w:start w:val="1"/>
      <w:numFmt w:val="bullet"/>
      <w:lvlText w:val=""/>
      <w:lvlJc w:val="left"/>
      <w:pPr>
        <w:ind w:left="420" w:hanging="420"/>
      </w:pPr>
      <w:rPr>
        <w:rFonts w:hint="default" w:ascii="Wingdings" w:hAnsi="Wingdings"/>
      </w:rPr>
    </w:lvl>
  </w:abstractNum>
  <w:abstractNum w:abstractNumId="4">
    <w:nsid w:val="DC4FDA6D"/>
    <w:multiLevelType w:val="singleLevel"/>
    <w:tmpl w:val="DC4FDA6D"/>
    <w:lvl w:ilvl="0" w:tentative="0">
      <w:start w:val="1"/>
      <w:numFmt w:val="decimal"/>
      <w:suff w:val="space"/>
      <w:lvlText w:val="[%1]"/>
      <w:lvlJc w:val="left"/>
    </w:lvl>
  </w:abstractNum>
  <w:abstractNum w:abstractNumId="5">
    <w:nsid w:val="DD98CB44"/>
    <w:multiLevelType w:val="singleLevel"/>
    <w:tmpl w:val="DD98CB44"/>
    <w:lvl w:ilvl="0" w:tentative="0">
      <w:start w:val="1"/>
      <w:numFmt w:val="bullet"/>
      <w:lvlText w:val=""/>
      <w:lvlJc w:val="left"/>
      <w:pPr>
        <w:tabs>
          <w:tab w:val="left" w:pos="420"/>
        </w:tabs>
        <w:ind w:left="840" w:hanging="420"/>
      </w:pPr>
      <w:rPr>
        <w:rFonts w:hint="default" w:ascii="Wingdings" w:hAnsi="Wingdings"/>
      </w:rPr>
    </w:lvl>
  </w:abstractNum>
  <w:abstractNum w:abstractNumId="6">
    <w:nsid w:val="1310783F"/>
    <w:multiLevelType w:val="multilevel"/>
    <w:tmpl w:val="1310783F"/>
    <w:lvl w:ilvl="0" w:tentative="0">
      <w:start w:val="0"/>
      <w:numFmt w:val="bullet"/>
      <w:lvlText w:val="-"/>
      <w:lvlJc w:val="left"/>
      <w:pPr>
        <w:tabs>
          <w:tab w:val="left" w:pos="-420"/>
        </w:tabs>
        <w:ind w:left="0" w:hanging="420"/>
      </w:pPr>
      <w:rPr>
        <w:rFonts w:hint="default" w:ascii="Times New Roman" w:hAnsi="Times New Roman" w:eastAsia="MS Mincho" w:cs="Times New Roman"/>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1B44268E"/>
    <w:multiLevelType w:val="multilevel"/>
    <w:tmpl w:val="1B44268E"/>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9">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84765A8"/>
    <w:multiLevelType w:val="multilevel"/>
    <w:tmpl w:val="484765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Segoe UI" w:hAnsi="Segoe UI"/>
      </w:rPr>
    </w:lvl>
    <w:lvl w:ilvl="2" w:tentative="0">
      <w:start w:val="1"/>
      <w:numFmt w:val="bullet"/>
      <w:lvlText w:val=""/>
      <w:lvlJc w:val="left"/>
      <w:pPr>
        <w:tabs>
          <w:tab w:val="left" w:pos="1260"/>
        </w:tabs>
        <w:ind w:left="1260" w:leftChars="0" w:hanging="420" w:firstLineChars="0"/>
      </w:pPr>
      <w:rPr>
        <w:rFonts w:hint="default" w:ascii="Segoe UI" w:hAnsi="Segoe UI"/>
      </w:rPr>
    </w:lvl>
    <w:lvl w:ilvl="3" w:tentative="0">
      <w:start w:val="1"/>
      <w:numFmt w:val="bullet"/>
      <w:lvlText w:val=""/>
      <w:lvlJc w:val="left"/>
      <w:pPr>
        <w:tabs>
          <w:tab w:val="left" w:pos="1680"/>
        </w:tabs>
        <w:ind w:left="1680" w:leftChars="0" w:hanging="420" w:firstLineChars="0"/>
      </w:pPr>
      <w:rPr>
        <w:rFonts w:hint="default" w:ascii="Segoe UI" w:hAnsi="Segoe UI"/>
      </w:rPr>
    </w:lvl>
    <w:lvl w:ilvl="4" w:tentative="0">
      <w:start w:val="1"/>
      <w:numFmt w:val="bullet"/>
      <w:lvlText w:val=""/>
      <w:lvlJc w:val="left"/>
      <w:pPr>
        <w:tabs>
          <w:tab w:val="left" w:pos="2100"/>
        </w:tabs>
        <w:ind w:left="2100" w:leftChars="0" w:hanging="420" w:firstLineChars="0"/>
      </w:pPr>
      <w:rPr>
        <w:rFonts w:hint="default" w:ascii="Segoe UI" w:hAnsi="Segoe UI"/>
      </w:rPr>
    </w:lvl>
    <w:lvl w:ilvl="5" w:tentative="0">
      <w:start w:val="1"/>
      <w:numFmt w:val="bullet"/>
      <w:lvlText w:val=""/>
      <w:lvlJc w:val="left"/>
      <w:pPr>
        <w:tabs>
          <w:tab w:val="left" w:pos="2520"/>
        </w:tabs>
        <w:ind w:left="2520" w:leftChars="0" w:hanging="420" w:firstLineChars="0"/>
      </w:pPr>
      <w:rPr>
        <w:rFonts w:hint="default" w:ascii="Segoe UI" w:hAnsi="Segoe UI"/>
      </w:rPr>
    </w:lvl>
    <w:lvl w:ilvl="6" w:tentative="0">
      <w:start w:val="1"/>
      <w:numFmt w:val="bullet"/>
      <w:lvlText w:val=""/>
      <w:lvlJc w:val="left"/>
      <w:pPr>
        <w:tabs>
          <w:tab w:val="left" w:pos="2940"/>
        </w:tabs>
        <w:ind w:left="2940" w:leftChars="0" w:hanging="420" w:firstLineChars="0"/>
      </w:pPr>
      <w:rPr>
        <w:rFonts w:hint="default" w:ascii="Segoe UI" w:hAnsi="Segoe UI"/>
      </w:rPr>
    </w:lvl>
    <w:lvl w:ilvl="7" w:tentative="0">
      <w:start w:val="1"/>
      <w:numFmt w:val="bullet"/>
      <w:lvlText w:val=""/>
      <w:lvlJc w:val="left"/>
      <w:pPr>
        <w:tabs>
          <w:tab w:val="left" w:pos="3360"/>
        </w:tabs>
        <w:ind w:left="3360" w:leftChars="0" w:hanging="420" w:firstLineChars="0"/>
      </w:pPr>
      <w:rPr>
        <w:rFonts w:hint="default" w:ascii="Segoe UI" w:hAnsi="Segoe UI"/>
      </w:rPr>
    </w:lvl>
    <w:lvl w:ilvl="8" w:tentative="0">
      <w:start w:val="1"/>
      <w:numFmt w:val="bullet"/>
      <w:lvlText w:val=""/>
      <w:lvlJc w:val="left"/>
      <w:pPr>
        <w:tabs>
          <w:tab w:val="left" w:pos="3780"/>
        </w:tabs>
        <w:ind w:left="3780" w:leftChars="0" w:hanging="420" w:firstLineChars="0"/>
      </w:pPr>
      <w:rPr>
        <w:rFonts w:hint="default" w:ascii="Segoe UI" w:hAnsi="Segoe UI"/>
      </w:rPr>
    </w:lvl>
  </w:abstractNum>
  <w:abstractNum w:abstractNumId="12">
    <w:nsid w:val="4C7149B7"/>
    <w:multiLevelType w:val="multilevel"/>
    <w:tmpl w:val="4C7149B7"/>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7A7638B"/>
    <w:multiLevelType w:val="multilevel"/>
    <w:tmpl w:val="57A7638B"/>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6"/>
  </w:num>
  <w:num w:numId="2">
    <w:abstractNumId w:val="13"/>
  </w:num>
  <w:num w:numId="3">
    <w:abstractNumId w:val="7"/>
  </w:num>
  <w:num w:numId="4">
    <w:abstractNumId w:val="9"/>
  </w:num>
  <w:num w:numId="5">
    <w:abstractNumId w:val="15"/>
  </w:num>
  <w:num w:numId="6">
    <w:abstractNumId w:val="11"/>
  </w:num>
  <w:num w:numId="7">
    <w:abstractNumId w:val="3"/>
  </w:num>
  <w:num w:numId="8">
    <w:abstractNumId w:val="5"/>
  </w:num>
  <w:num w:numId="9">
    <w:abstractNumId w:val="1"/>
  </w:num>
  <w:num w:numId="10">
    <w:abstractNumId w:val="0"/>
  </w:num>
  <w:num w:numId="11">
    <w:abstractNumId w:val="12"/>
  </w:num>
  <w:num w:numId="12">
    <w:abstractNumId w:val="6"/>
  </w:num>
  <w:num w:numId="13">
    <w:abstractNumId w:val="10"/>
  </w:num>
  <w:num w:numId="14">
    <w:abstractNumId w:val="2"/>
  </w:num>
  <w:num w:numId="15">
    <w:abstractNumId w:val="8"/>
  </w:num>
  <w:num w:numId="16">
    <w:abstractNumId w:val="1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2024-10-07T03:45:36Z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